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themeColor="text1"/>
          <w:sz w:val="44"/>
          <w:szCs w:val="44"/>
          <w:lang w:val="en-US" w:eastAsia="zh-CN"/>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汉中市南郑区</w:t>
      </w:r>
    </w:p>
    <w:p>
      <w:pPr>
        <w:jc w:val="center"/>
        <w:rPr>
          <w:rFonts w:hint="eastAsia"/>
          <w:b/>
          <w:bCs/>
          <w:color w:val="000000" w:themeColor="text1"/>
          <w:sz w:val="44"/>
          <w:szCs w:val="44"/>
          <w:lang w:val="en-US" w:eastAsia="zh-CN"/>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烟草制品零售点合</w:t>
      </w:r>
      <w:bookmarkStart w:id="0" w:name="_GoBack"/>
      <w:bookmarkEnd w:id="0"/>
      <w:r>
        <w:rPr>
          <w:rFonts w:hint="eastAsia"/>
          <w:b/>
          <w:bCs/>
          <w:color w:val="000000" w:themeColor="text1"/>
          <w:sz w:val="44"/>
          <w:szCs w:val="44"/>
          <w:lang w:val="en-US" w:eastAsia="zh-CN"/>
          <w14:textFill>
            <w14:solidFill>
              <w14:schemeClr w14:val="tx1"/>
            </w14:solidFill>
          </w14:textFill>
        </w:rPr>
        <w:t>理布局规划</w:t>
      </w:r>
    </w:p>
    <w:p>
      <w:pPr>
        <w:jc w:val="center"/>
        <w:rPr>
          <w:rFonts w:hint="eastAsia"/>
          <w:b/>
          <w:bCs/>
          <w:color w:val="000000" w:themeColor="text1"/>
          <w:sz w:val="44"/>
          <w:szCs w:val="44"/>
          <w:lang w:val="en-US" w:eastAsia="zh-CN"/>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（征求意见稿）</w:t>
      </w:r>
    </w:p>
    <w:p>
      <w:pPr>
        <w:jc w:val="center"/>
        <w:rPr>
          <w:rFonts w:hint="eastAsia" w:ascii="仿宋" w:hAnsi="仿宋" w:eastAsia="仿宋" w:cs="Arial"/>
          <w:b/>
          <w:color w:val="000000" w:themeColor="text1"/>
          <w:sz w:val="30"/>
          <w:szCs w:val="30"/>
          <w14:textFill>
            <w14:solidFill>
              <w14:schemeClr w14:val="tx1"/>
            </w14:solidFill>
          </w14:textFill>
        </w:rPr>
      </w:pPr>
    </w:p>
    <w:p>
      <w:pPr>
        <w:jc w:val="center"/>
        <w:rPr>
          <w:rFonts w:hint="eastAsia"/>
          <w:b/>
          <w:bCs/>
          <w:color w:val="000000" w:themeColor="text1"/>
          <w:sz w:val="44"/>
          <w:szCs w:val="44"/>
          <w:lang w:val="en-US" w:eastAsia="zh-CN"/>
          <w14:textFill>
            <w14:solidFill>
              <w14:schemeClr w14:val="tx1"/>
            </w14:solidFill>
          </w14:textFill>
        </w:rPr>
      </w:pPr>
      <w:r>
        <w:rPr>
          <w:rFonts w:hint="eastAsia" w:ascii="仿宋" w:hAnsi="仿宋" w:eastAsia="仿宋" w:cs="Arial"/>
          <w:b/>
          <w:color w:val="000000" w:themeColor="text1"/>
          <w:sz w:val="36"/>
          <w:szCs w:val="36"/>
          <w14:textFill>
            <w14:solidFill>
              <w14:schemeClr w14:val="tx1"/>
            </w14:solidFill>
          </w14:textFill>
        </w:rPr>
        <w:t xml:space="preserve">第一章 总 </w:t>
      </w:r>
      <w:r>
        <w:rPr>
          <w:rFonts w:hint="eastAsia" w:eastAsia="仿宋"/>
          <w:b/>
          <w:color w:val="000000" w:themeColor="text1"/>
          <w:sz w:val="36"/>
          <w:szCs w:val="36"/>
          <w14:textFill>
            <w14:solidFill>
              <w14:schemeClr w14:val="tx1"/>
            </w14:solidFill>
          </w14:textFill>
        </w:rPr>
        <w:t> </w:t>
      </w:r>
      <w:r>
        <w:rPr>
          <w:rFonts w:hint="eastAsia" w:ascii="仿宋" w:hAnsi="仿宋" w:eastAsia="仿宋" w:cs="Arial"/>
          <w:b/>
          <w:color w:val="000000" w:themeColor="text1"/>
          <w:sz w:val="36"/>
          <w:szCs w:val="36"/>
          <w14:textFill>
            <w14:solidFill>
              <w14:schemeClr w14:val="tx1"/>
            </w14:solidFill>
          </w14:textFill>
        </w:rPr>
        <w:t>则</w:t>
      </w:r>
    </w:p>
    <w:p>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第一条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为规范和加强本辖区烟草制品零售点布局管理，合理配置市场资源，建立良好的烟草制品零售市场秩序，保障国家利益，保护未成年人健康成长，保护消费者和经营者合法权益，根据《中华人民共和国行政许可法》《中华人民共和国烟草专卖法》《中华人民共和国烟草专卖法实施条例》《烟草专卖许可证管理办法》《烟草专卖许可证管理办法实施细则》《中华人民共和国未成年人保护法》等法律法规，结合辖区实际，制定本规划。</w:t>
      </w:r>
    </w:p>
    <w:p>
      <w:pPr>
        <w:numPr>
          <w:ilvl w:val="0"/>
          <w:numId w:val="0"/>
        </w:numPr>
        <w:ind w:firstLine="643"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第二条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规划</w:t>
      </w:r>
      <w:r>
        <w:rPr>
          <w:rFonts w:hint="eastAsia" w:ascii="仿宋_GB2312" w:hAnsi="仿宋_GB2312" w:eastAsia="仿宋_GB2312" w:cs="仿宋_GB2312"/>
          <w:color w:val="000000" w:themeColor="text1"/>
          <w:kern w:val="0"/>
          <w:sz w:val="32"/>
          <w:szCs w:val="32"/>
          <w14:textFill>
            <w14:solidFill>
              <w14:schemeClr w14:val="tx1"/>
            </w14:solidFill>
          </w14:textFill>
        </w:rPr>
        <w:t>适用于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南郑区</w:t>
      </w:r>
      <w:r>
        <w:rPr>
          <w:rFonts w:hint="eastAsia" w:ascii="仿宋_GB2312" w:hAnsi="仿宋_GB2312" w:eastAsia="仿宋_GB2312" w:cs="仿宋_GB2312"/>
          <w:color w:val="000000" w:themeColor="text1"/>
          <w:kern w:val="0"/>
          <w:sz w:val="32"/>
          <w:szCs w:val="32"/>
          <w14:textFill>
            <w14:solidFill>
              <w14:schemeClr w14:val="tx1"/>
            </w14:solidFill>
          </w14:textFill>
        </w:rPr>
        <w:t>行政区域内烟草制品零售点的布局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管理</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numPr>
          <w:ilvl w:val="0"/>
          <w:numId w:val="0"/>
        </w:numPr>
        <w:ind w:firstLine="64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第三条 </w:t>
      </w:r>
      <w:r>
        <w:rPr>
          <w:rFonts w:hint="eastAsia" w:ascii="仿宋" w:hAnsi="仿宋" w:eastAsia="仿宋" w:cs="仿宋"/>
          <w:b w:val="0"/>
          <w:bCs w:val="0"/>
          <w:color w:val="000000" w:themeColor="text1"/>
          <w:sz w:val="32"/>
          <w:szCs w:val="32"/>
          <w:lang w:val="en-US" w:eastAsia="zh-CN"/>
          <w14:textFill>
            <w14:solidFill>
              <w14:schemeClr w14:val="tx1"/>
            </w14:solidFill>
          </w14:textFill>
        </w:rPr>
        <w:t>本规划所称烟草制品零售点（以下简称零售点）是指经申请人申请，依法取得烟草专卖零售许可证，从事烟草制品零售业务的经营场所。</w:t>
      </w:r>
    </w:p>
    <w:p>
      <w:pPr>
        <w:numPr>
          <w:ilvl w:val="0"/>
          <w:numId w:val="0"/>
        </w:numPr>
        <w:ind w:firstLine="64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第四条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辖区</w:t>
      </w:r>
      <w:r>
        <w:rPr>
          <w:rFonts w:hint="eastAsia" w:ascii="仿宋_GB2312" w:hAnsi="仿宋_GB2312" w:eastAsia="仿宋_GB2312" w:cs="仿宋_GB2312"/>
          <w:color w:val="000000" w:themeColor="text1"/>
          <w:kern w:val="0"/>
          <w:sz w:val="32"/>
          <w:szCs w:val="32"/>
          <w14:textFill>
            <w14:solidFill>
              <w14:schemeClr w14:val="tx1"/>
            </w14:solidFill>
          </w14:textFill>
        </w:rPr>
        <w:t>烟草制品零售点布局以市场为导向，遵循</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依法行政、科学规划、服务社会、均衡发展、信赖保护的原则，结合辖区人口数量、交通状况、经济发展水平、消费能力等因素，对本行政区域内烟草制品零售点进行规划布局。</w:t>
      </w:r>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第五条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为了满足合理消费需求、防止无序过度竞争、落实控烟履约要求，确保计划与市场相协调，本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辖区</w:t>
      </w:r>
      <w:r>
        <w:rPr>
          <w:rFonts w:hint="eastAsia" w:ascii="仿宋_GB2312" w:hAnsi="仿宋_GB2312" w:eastAsia="仿宋_GB2312" w:cs="仿宋_GB2312"/>
          <w:color w:val="000000" w:themeColor="text1"/>
          <w:kern w:val="0"/>
          <w:sz w:val="32"/>
          <w:szCs w:val="32"/>
          <w14:textFill>
            <w14:solidFill>
              <w14:schemeClr w14:val="tx1"/>
            </w14:solidFill>
          </w14:textFill>
        </w:rPr>
        <w:t>烟草制品零售点布局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实行</w:t>
      </w:r>
      <w:r>
        <w:rPr>
          <w:rFonts w:hint="eastAsia" w:ascii="仿宋" w:hAnsi="仿宋" w:eastAsia="仿宋" w:cs="仿宋"/>
          <w:b w:val="0"/>
          <w:bCs w:val="0"/>
          <w:color w:val="000000" w:themeColor="text1"/>
          <w:sz w:val="32"/>
          <w:szCs w:val="32"/>
          <w:lang w:val="en-US" w:eastAsia="zh-CN"/>
          <w14:textFill>
            <w14:solidFill>
              <w14:schemeClr w14:val="tx1"/>
            </w14:solidFill>
          </w14:textFill>
        </w:rPr>
        <w:t>定期评价、动态管理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根据辖区实际情况不定期对各类街道及市场属性进行调整，报上级部门备案后公告实施。</w:t>
      </w:r>
    </w:p>
    <w:p>
      <w:pPr>
        <w:pStyle w:val="7"/>
        <w:shd w:val="clear" w:color="auto" w:fill="FFFFFF"/>
        <w:spacing w:before="0" w:beforeAutospacing="0" w:after="0" w:afterAutospacing="0" w:line="540" w:lineRule="exact"/>
        <w:jc w:val="center"/>
        <w:rPr>
          <w:rFonts w:hint="eastAsia" w:ascii="仿宋" w:hAnsi="仿宋" w:eastAsia="仿宋" w:cs="Arial"/>
          <w:b/>
          <w:color w:val="000000" w:themeColor="text1"/>
          <w:kern w:val="2"/>
          <w:sz w:val="36"/>
          <w:szCs w:val="36"/>
          <w:lang w:val="en-US" w:eastAsia="zh-CN" w:bidi="ar-SA"/>
          <w14:textFill>
            <w14:solidFill>
              <w14:schemeClr w14:val="tx1"/>
            </w14:solidFill>
          </w14:textFill>
        </w:rPr>
      </w:pPr>
    </w:p>
    <w:p>
      <w:pPr>
        <w:pStyle w:val="7"/>
        <w:shd w:val="clear" w:color="auto" w:fill="FFFFFF"/>
        <w:spacing w:before="0" w:beforeAutospacing="0" w:after="0" w:afterAutospacing="0" w:line="540" w:lineRule="exact"/>
        <w:jc w:val="center"/>
        <w:rPr>
          <w:rFonts w:hint="eastAsia" w:ascii="仿宋" w:hAnsi="仿宋" w:eastAsia="仿宋" w:cs="Arial"/>
          <w:b/>
          <w:color w:val="000000" w:themeColor="text1"/>
          <w:kern w:val="2"/>
          <w:sz w:val="36"/>
          <w:szCs w:val="36"/>
          <w:lang w:val="en-US" w:eastAsia="zh-CN" w:bidi="ar-SA"/>
          <w14:textFill>
            <w14:solidFill>
              <w14:schemeClr w14:val="tx1"/>
            </w14:solidFill>
          </w14:textFill>
        </w:rPr>
      </w:pPr>
      <w:r>
        <w:rPr>
          <w:rFonts w:hint="eastAsia" w:ascii="仿宋" w:hAnsi="仿宋" w:eastAsia="仿宋" w:cs="Arial"/>
          <w:b/>
          <w:color w:val="000000" w:themeColor="text1"/>
          <w:kern w:val="2"/>
          <w:sz w:val="36"/>
          <w:szCs w:val="36"/>
          <w:lang w:val="en-US" w:eastAsia="zh-CN" w:bidi="ar-SA"/>
          <w14:textFill>
            <w14:solidFill>
              <w14:schemeClr w14:val="tx1"/>
            </w14:solidFill>
          </w14:textFill>
        </w:rPr>
        <w:t>第二章  申办条件</w:t>
      </w:r>
    </w:p>
    <w:p>
      <w:pPr>
        <w:pStyle w:val="7"/>
        <w:shd w:val="clear" w:color="auto" w:fill="FFFFFF"/>
        <w:spacing w:before="0" w:beforeAutospacing="0" w:after="0" w:afterAutospacing="0" w:line="560" w:lineRule="exact"/>
        <w:ind w:firstLine="634"/>
        <w:jc w:val="both"/>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第六条</w:t>
      </w:r>
      <w:r>
        <w:rPr>
          <w:rFonts w:hint="eastAsia" w:ascii="仿宋" w:hAnsi="仿宋" w:eastAsia="仿宋"/>
          <w:bCs/>
          <w:color w:val="000000" w:themeColor="text1"/>
          <w:kern w:val="2"/>
          <w:sz w:val="30"/>
          <w:szCs w:val="30"/>
          <w14:textFill>
            <w14:solidFill>
              <w14:schemeClr w14:val="tx1"/>
            </w14:solidFill>
          </w14:textFill>
        </w:rPr>
        <w:t xml:space="preserve"> 烟草专卖零售许可证申办应符合以下条件：</w:t>
      </w:r>
    </w:p>
    <w:p>
      <w:pPr>
        <w:pStyle w:val="7"/>
        <w:shd w:val="clear" w:color="auto" w:fill="FFFFFF"/>
        <w:spacing w:before="0" w:beforeAutospacing="0" w:after="0" w:afterAutospacing="0" w:line="560" w:lineRule="exact"/>
        <w:ind w:firstLine="750" w:firstLineChars="250"/>
        <w:rPr>
          <w:rFonts w:hint="eastAsia" w:ascii="仿宋" w:hAnsi="仿宋" w:eastAsia="仿宋"/>
          <w:bCs/>
          <w:color w:val="000000" w:themeColor="text1"/>
          <w:kern w:val="2"/>
          <w:sz w:val="30"/>
          <w:szCs w:val="30"/>
          <w14:textFill>
            <w14:solidFill>
              <w14:schemeClr w14:val="tx1"/>
            </w14:solidFill>
          </w14:textFill>
        </w:rPr>
      </w:pPr>
      <w:r>
        <w:rPr>
          <w:rFonts w:hint="eastAsia" w:ascii="仿宋" w:hAnsi="仿宋" w:eastAsia="仿宋"/>
          <w:bCs/>
          <w:color w:val="000000" w:themeColor="text1"/>
          <w:kern w:val="2"/>
          <w:sz w:val="30"/>
          <w:szCs w:val="30"/>
          <w14:textFill>
            <w14:solidFill>
              <w14:schemeClr w14:val="tx1"/>
            </w14:solidFill>
          </w14:textFill>
        </w:rPr>
        <w:t>（</w:t>
      </w:r>
      <w:r>
        <w:rPr>
          <w:rFonts w:hint="eastAsia" w:ascii="仿宋" w:hAnsi="仿宋" w:eastAsia="仿宋"/>
          <w:bCs/>
          <w:color w:val="000000" w:themeColor="text1"/>
          <w:kern w:val="2"/>
          <w:sz w:val="30"/>
          <w:szCs w:val="30"/>
          <w:lang w:eastAsia="zh-CN"/>
          <w14:textFill>
            <w14:solidFill>
              <w14:schemeClr w14:val="tx1"/>
            </w14:solidFill>
          </w14:textFill>
        </w:rPr>
        <w:t>一</w:t>
      </w:r>
      <w:r>
        <w:rPr>
          <w:rFonts w:hint="eastAsia" w:ascii="仿宋" w:hAnsi="仿宋" w:eastAsia="仿宋"/>
          <w:bCs/>
          <w:color w:val="000000" w:themeColor="text1"/>
          <w:kern w:val="2"/>
          <w:sz w:val="30"/>
          <w:szCs w:val="30"/>
          <w14:textFill>
            <w14:solidFill>
              <w14:schemeClr w14:val="tx1"/>
            </w14:solidFill>
          </w14:textFill>
        </w:rPr>
        <w:t>）</w:t>
      </w:r>
      <w:r>
        <w:rPr>
          <w:rFonts w:hint="eastAsia" w:ascii="仿宋" w:hAnsi="仿宋" w:eastAsia="仿宋"/>
          <w:bCs/>
          <w:color w:val="000000" w:themeColor="text1"/>
          <w:kern w:val="2"/>
          <w:sz w:val="30"/>
          <w:szCs w:val="30"/>
          <w:lang w:eastAsia="zh-CN"/>
          <w14:textFill>
            <w14:solidFill>
              <w14:schemeClr w14:val="tx1"/>
            </w14:solidFill>
          </w14:textFill>
        </w:rPr>
        <w:t>有与经营烟草制品零售业务相适应的资金；</w:t>
      </w:r>
    </w:p>
    <w:p>
      <w:pPr>
        <w:pStyle w:val="7"/>
        <w:shd w:val="clear" w:color="auto" w:fill="FFFFFF"/>
        <w:spacing w:before="0" w:beforeAutospacing="0" w:after="0" w:afterAutospacing="0" w:line="560" w:lineRule="exact"/>
        <w:ind w:firstLine="750" w:firstLineChars="250"/>
        <w:rPr>
          <w:rFonts w:hint="eastAsia" w:ascii="仿宋" w:hAnsi="仿宋" w:eastAsia="仿宋"/>
          <w:bCs/>
          <w:color w:val="000000" w:themeColor="text1"/>
          <w:kern w:val="2"/>
          <w:sz w:val="30"/>
          <w:szCs w:val="30"/>
          <w14:textFill>
            <w14:solidFill>
              <w14:schemeClr w14:val="tx1"/>
            </w14:solidFill>
          </w14:textFill>
        </w:rPr>
      </w:pPr>
      <w:r>
        <w:rPr>
          <w:rFonts w:hint="eastAsia" w:ascii="仿宋" w:hAnsi="仿宋" w:eastAsia="仿宋"/>
          <w:bCs/>
          <w:color w:val="000000" w:themeColor="text1"/>
          <w:kern w:val="2"/>
          <w:sz w:val="30"/>
          <w:szCs w:val="30"/>
          <w14:textFill>
            <w14:solidFill>
              <w14:schemeClr w14:val="tx1"/>
            </w14:solidFill>
          </w14:textFill>
        </w:rPr>
        <w:t>（</w:t>
      </w:r>
      <w:r>
        <w:rPr>
          <w:rFonts w:hint="eastAsia" w:ascii="仿宋" w:hAnsi="仿宋" w:eastAsia="仿宋"/>
          <w:bCs/>
          <w:color w:val="000000" w:themeColor="text1"/>
          <w:kern w:val="2"/>
          <w:sz w:val="30"/>
          <w:szCs w:val="30"/>
          <w:lang w:eastAsia="zh-CN"/>
          <w14:textFill>
            <w14:solidFill>
              <w14:schemeClr w14:val="tx1"/>
            </w14:solidFill>
          </w14:textFill>
        </w:rPr>
        <w:t>二</w:t>
      </w:r>
      <w:r>
        <w:rPr>
          <w:rFonts w:hint="eastAsia" w:ascii="仿宋" w:hAnsi="仿宋" w:eastAsia="仿宋"/>
          <w:bCs/>
          <w:color w:val="000000" w:themeColor="text1"/>
          <w:kern w:val="2"/>
          <w:sz w:val="30"/>
          <w:szCs w:val="30"/>
          <w14:textFill>
            <w14:solidFill>
              <w14:schemeClr w14:val="tx1"/>
            </w14:solidFill>
          </w14:textFill>
        </w:rPr>
        <w:t>）有与住所相独立的固定经营场所；</w:t>
      </w:r>
    </w:p>
    <w:p>
      <w:pPr>
        <w:pStyle w:val="7"/>
        <w:shd w:val="clear" w:color="auto" w:fill="FFFFFF"/>
        <w:spacing w:before="0" w:beforeAutospacing="0" w:after="0" w:afterAutospacing="0" w:line="560" w:lineRule="exact"/>
        <w:ind w:firstLine="750" w:firstLineChars="250"/>
        <w:rPr>
          <w:rFonts w:hint="eastAsia" w:ascii="仿宋" w:hAnsi="仿宋" w:eastAsia="仿宋"/>
          <w:bCs/>
          <w:color w:val="000000" w:themeColor="text1"/>
          <w:kern w:val="2"/>
          <w:sz w:val="30"/>
          <w:szCs w:val="30"/>
          <w:lang w:eastAsia="zh-CN"/>
          <w14:textFill>
            <w14:solidFill>
              <w14:schemeClr w14:val="tx1"/>
            </w14:solidFill>
          </w14:textFill>
        </w:rPr>
      </w:pPr>
      <w:r>
        <w:rPr>
          <w:rFonts w:hint="eastAsia" w:ascii="仿宋" w:hAnsi="仿宋" w:eastAsia="仿宋"/>
          <w:bCs/>
          <w:color w:val="000000" w:themeColor="text1"/>
          <w:kern w:val="2"/>
          <w:sz w:val="30"/>
          <w:szCs w:val="30"/>
          <w:lang w:eastAsia="zh-CN"/>
          <w14:textFill>
            <w14:solidFill>
              <w14:schemeClr w14:val="tx1"/>
            </w14:solidFill>
          </w14:textFill>
        </w:rPr>
        <w:t>（三）</w:t>
      </w:r>
      <w:r>
        <w:rPr>
          <w:rFonts w:hint="eastAsia" w:ascii="仿宋" w:hAnsi="仿宋" w:eastAsia="仿宋"/>
          <w:bCs/>
          <w:color w:val="000000" w:themeColor="text1"/>
          <w:kern w:val="2"/>
          <w:sz w:val="30"/>
          <w:szCs w:val="30"/>
          <w14:textFill>
            <w14:solidFill>
              <w14:schemeClr w14:val="tx1"/>
            </w14:solidFill>
          </w14:textFill>
        </w:rPr>
        <w:t>符合本《规划》中零售点</w:t>
      </w:r>
      <w:r>
        <w:rPr>
          <w:rFonts w:hint="eastAsia" w:ascii="仿宋" w:hAnsi="仿宋" w:eastAsia="仿宋"/>
          <w:bCs/>
          <w:color w:val="000000" w:themeColor="text1"/>
          <w:kern w:val="2"/>
          <w:sz w:val="30"/>
          <w:szCs w:val="30"/>
          <w:lang w:eastAsia="zh-CN"/>
          <w14:textFill>
            <w14:solidFill>
              <w14:schemeClr w14:val="tx1"/>
            </w14:solidFill>
          </w14:textFill>
        </w:rPr>
        <w:t>合理</w:t>
      </w:r>
      <w:r>
        <w:rPr>
          <w:rFonts w:hint="eastAsia" w:ascii="仿宋" w:hAnsi="仿宋" w:eastAsia="仿宋"/>
          <w:bCs/>
          <w:color w:val="000000" w:themeColor="text1"/>
          <w:kern w:val="2"/>
          <w:sz w:val="30"/>
          <w:szCs w:val="30"/>
          <w14:textFill>
            <w14:solidFill>
              <w14:schemeClr w14:val="tx1"/>
            </w14:solidFill>
          </w14:textFill>
        </w:rPr>
        <w:t>布局的要求</w:t>
      </w:r>
      <w:r>
        <w:rPr>
          <w:rFonts w:hint="eastAsia" w:ascii="仿宋" w:hAnsi="仿宋" w:eastAsia="仿宋"/>
          <w:bCs/>
          <w:color w:val="000000" w:themeColor="text1"/>
          <w:kern w:val="2"/>
          <w:sz w:val="30"/>
          <w:szCs w:val="30"/>
          <w:lang w:eastAsia="zh-CN"/>
          <w14:textFill>
            <w14:solidFill>
              <w14:schemeClr w14:val="tx1"/>
            </w14:solidFill>
          </w14:textFill>
        </w:rPr>
        <w:t>；</w:t>
      </w:r>
    </w:p>
    <w:p>
      <w:pPr>
        <w:pStyle w:val="7"/>
        <w:shd w:val="clear" w:color="auto" w:fill="FFFFFF"/>
        <w:spacing w:before="0" w:beforeAutospacing="0" w:after="0" w:afterAutospacing="0" w:line="560" w:lineRule="exact"/>
        <w:ind w:firstLine="750" w:firstLineChars="250"/>
        <w:rPr>
          <w:rFonts w:hint="eastAsia" w:ascii="仿宋" w:hAnsi="仿宋" w:eastAsia="仿宋"/>
          <w:bCs/>
          <w:color w:val="000000" w:themeColor="text1"/>
          <w:kern w:val="2"/>
          <w:sz w:val="30"/>
          <w:szCs w:val="30"/>
          <w:lang w:eastAsia="zh-CN"/>
          <w14:textFill>
            <w14:solidFill>
              <w14:schemeClr w14:val="tx1"/>
            </w14:solidFill>
          </w14:textFill>
        </w:rPr>
      </w:pPr>
      <w:r>
        <w:rPr>
          <w:rFonts w:hint="eastAsia" w:ascii="仿宋" w:hAnsi="仿宋" w:eastAsia="仿宋"/>
          <w:bCs/>
          <w:color w:val="000000" w:themeColor="text1"/>
          <w:kern w:val="2"/>
          <w:sz w:val="30"/>
          <w:szCs w:val="30"/>
          <w14:textFill>
            <w14:solidFill>
              <w14:schemeClr w14:val="tx1"/>
            </w14:solidFill>
          </w14:textFill>
        </w:rPr>
        <w:t>（</w:t>
      </w:r>
      <w:r>
        <w:rPr>
          <w:rFonts w:hint="eastAsia" w:ascii="仿宋" w:hAnsi="仿宋" w:eastAsia="仿宋"/>
          <w:bCs/>
          <w:color w:val="000000" w:themeColor="text1"/>
          <w:kern w:val="2"/>
          <w:sz w:val="30"/>
          <w:szCs w:val="30"/>
          <w:lang w:eastAsia="zh-CN"/>
          <w14:textFill>
            <w14:solidFill>
              <w14:schemeClr w14:val="tx1"/>
            </w14:solidFill>
          </w14:textFill>
        </w:rPr>
        <w:t>四</w:t>
      </w:r>
      <w:r>
        <w:rPr>
          <w:rFonts w:hint="eastAsia" w:ascii="仿宋" w:hAnsi="仿宋" w:eastAsia="仿宋"/>
          <w:bCs/>
          <w:color w:val="000000" w:themeColor="text1"/>
          <w:kern w:val="2"/>
          <w:sz w:val="30"/>
          <w:szCs w:val="30"/>
          <w14:textFill>
            <w14:solidFill>
              <w14:schemeClr w14:val="tx1"/>
            </w14:solidFill>
          </w14:textFill>
        </w:rPr>
        <w:t>）</w:t>
      </w:r>
      <w:r>
        <w:rPr>
          <w:rFonts w:hint="eastAsia" w:ascii="仿宋" w:hAnsi="仿宋" w:eastAsia="仿宋"/>
          <w:bCs/>
          <w:color w:val="000000" w:themeColor="text1"/>
          <w:kern w:val="2"/>
          <w:sz w:val="30"/>
          <w:szCs w:val="30"/>
          <w:lang w:eastAsia="zh-CN"/>
          <w14:textFill>
            <w14:solidFill>
              <w14:schemeClr w14:val="tx1"/>
            </w14:solidFill>
          </w14:textFill>
        </w:rPr>
        <w:t>国家烟草专卖局规定的其他条件。</w:t>
      </w:r>
    </w:p>
    <w:p>
      <w:pPr>
        <w:jc w:val="center"/>
        <w:rPr>
          <w:rFonts w:hint="eastAsia" w:ascii="仿宋" w:hAnsi="仿宋" w:eastAsia="仿宋" w:cs="Arial"/>
          <w:b/>
          <w:color w:val="000000" w:themeColor="text1"/>
          <w:sz w:val="36"/>
          <w:szCs w:val="36"/>
          <w:lang w:val="en-US" w:eastAsia="zh-CN"/>
          <w14:textFill>
            <w14:solidFill>
              <w14:schemeClr w14:val="tx1"/>
            </w14:solidFill>
          </w14:textFill>
        </w:rPr>
      </w:pPr>
    </w:p>
    <w:p>
      <w:pPr>
        <w:jc w:val="center"/>
        <w:rPr>
          <w:rFonts w:hint="default" w:ascii="仿宋" w:hAnsi="仿宋" w:eastAsia="仿宋" w:cs="Arial"/>
          <w:b/>
          <w:color w:val="000000" w:themeColor="text1"/>
          <w:sz w:val="36"/>
          <w:szCs w:val="36"/>
          <w:lang w:val="en-US" w:eastAsia="zh-CN"/>
          <w14:textFill>
            <w14:solidFill>
              <w14:schemeClr w14:val="tx1"/>
            </w14:solidFill>
          </w14:textFill>
        </w:rPr>
      </w:pPr>
      <w:r>
        <w:rPr>
          <w:rFonts w:hint="eastAsia" w:ascii="仿宋" w:hAnsi="仿宋" w:eastAsia="仿宋" w:cs="Arial"/>
          <w:b/>
          <w:color w:val="000000" w:themeColor="text1"/>
          <w:sz w:val="36"/>
          <w:szCs w:val="36"/>
          <w:lang w:val="en-US" w:eastAsia="zh-CN"/>
          <w14:textFill>
            <w14:solidFill>
              <w14:schemeClr w14:val="tx1"/>
            </w14:solidFill>
          </w14:textFill>
        </w:rPr>
        <w:t>第三章 烟草制品零售点合理化布局标准</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default" w:ascii="仿宋" w:hAnsi="仿宋" w:eastAsia="仿宋" w:cs="仿宋"/>
          <w:b/>
          <w:bCs/>
          <w:color w:val="000000" w:themeColor="text1"/>
          <w:sz w:val="32"/>
          <w:szCs w:val="32"/>
          <w:lang w:val="en-US"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default" w:ascii="仿宋" w:hAnsi="仿宋" w:eastAsia="仿宋" w:cs="仿宋"/>
          <w:b/>
          <w:bCs/>
          <w:color w:val="000000" w:themeColor="text1"/>
          <w:sz w:val="32"/>
          <w:szCs w:val="32"/>
          <w:lang w:val="en-US" w:eastAsia="zh-CN"/>
          <w14:textFill>
            <w14:solidFill>
              <w14:schemeClr w14:val="tx1"/>
            </w14:solidFill>
          </w14:textFill>
        </w:rPr>
        <w:t>条</w:t>
      </w:r>
      <w:r>
        <w:rPr>
          <w:rFonts w:hint="default" w:ascii="仿宋" w:hAnsi="仿宋" w:eastAsia="仿宋" w:cs="宋体"/>
          <w:bCs/>
          <w:color w:val="000000" w:themeColor="text1"/>
          <w:sz w:val="30"/>
          <w:szCs w:val="30"/>
          <w:lang w:val="en-US" w:eastAsia="zh-CN"/>
          <w14:textFill>
            <w14:solidFill>
              <w14:schemeClr w14:val="tx1"/>
            </w14:solidFill>
          </w14:textFill>
        </w:rPr>
        <w:t xml:space="preserve"> 零售点总体布局实行采用距离控制、“容量+间距”控制、总量控制的布局标准。</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default" w:ascii="仿宋" w:hAnsi="仿宋" w:eastAsia="仿宋" w:cs="宋体"/>
          <w:bCs/>
          <w:color w:val="000000" w:themeColor="text1"/>
          <w:sz w:val="30"/>
          <w:szCs w:val="30"/>
          <w:lang w:val="en-US" w:eastAsia="zh-CN"/>
          <w14:textFill>
            <w14:solidFill>
              <w14:schemeClr w14:val="tx1"/>
            </w14:solidFill>
          </w14:textFill>
        </w:rPr>
        <w:t>根据辖区内的人口数量、交通状况、经济发展水平、消费能力及城镇居民居住区域的特点，结合城乡建设规划、市场类型等因素，将辖区划分为主城区、副城区、乡（镇）所在地、建制村、各类市场单元类型</w:t>
      </w:r>
      <w:r>
        <w:rPr>
          <w:rFonts w:hint="eastAsia" w:ascii="仿宋" w:hAnsi="仿宋" w:eastAsia="仿宋" w:cs="宋体"/>
          <w:bCs/>
          <w:color w:val="000000" w:themeColor="text1"/>
          <w:sz w:val="30"/>
          <w:szCs w:val="30"/>
          <w:lang w:val="en-US" w:eastAsia="zh-CN"/>
          <w14:textFill>
            <w14:solidFill>
              <w14:schemeClr w14:val="tx1"/>
            </w14:solidFill>
          </w14:textFill>
        </w:rPr>
        <w:t>五</w:t>
      </w:r>
      <w:r>
        <w:rPr>
          <w:rFonts w:hint="default" w:ascii="仿宋" w:hAnsi="仿宋" w:eastAsia="仿宋" w:cs="宋体"/>
          <w:bCs/>
          <w:color w:val="000000" w:themeColor="text1"/>
          <w:sz w:val="30"/>
          <w:szCs w:val="30"/>
          <w:lang w:val="en-US" w:eastAsia="zh-CN"/>
          <w14:textFill>
            <w14:solidFill>
              <w14:schemeClr w14:val="tx1"/>
            </w14:solidFill>
          </w14:textFill>
        </w:rPr>
        <w:t>种类型</w:t>
      </w:r>
      <w:r>
        <w:rPr>
          <w:rFonts w:hint="eastAsia" w:ascii="仿宋" w:hAnsi="仿宋" w:eastAsia="仿宋" w:cs="宋体"/>
          <w:bCs/>
          <w:color w:val="000000" w:themeColor="text1"/>
          <w:sz w:val="30"/>
          <w:szCs w:val="30"/>
          <w:lang w:val="en-US" w:eastAsia="zh-CN"/>
          <w14:textFill>
            <w14:solidFill>
              <w14:schemeClr w14:val="tx1"/>
            </w14:solidFill>
          </w14:textFill>
        </w:rPr>
        <w:t>：</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（一）主城区指当地城区主体区域（含县城），是政治、经济、文化中心；</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（二）副城区指按照市政规划建成的主城区向外扩展的区域，一般为近10年建设完成并投入使用的新建城镇区域；</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（三）乡（镇）所在地指</w:t>
      </w:r>
      <w:r>
        <w:rPr>
          <w:rFonts w:hint="eastAsia" w:ascii="仿宋_GB2312" w:hAnsi="仿宋_GB2312" w:eastAsia="仿宋_GB2312" w:cs="仿宋_GB2312"/>
          <w:b w:val="0"/>
          <w:i w:val="0"/>
          <w:color w:val="000000" w:themeColor="text1"/>
          <w:sz w:val="32"/>
          <w:u w:val="none"/>
          <w:lang w:val="en-US" w:eastAsia="zh-CN"/>
          <w14:textFill>
            <w14:solidFill>
              <w14:schemeClr w14:val="tx1"/>
            </w14:solidFill>
          </w14:textFill>
        </w:rPr>
        <w:t>镇</w:t>
      </w:r>
      <w:r>
        <w:rPr>
          <w:rFonts w:hint="eastAsia" w:ascii="仿宋_GB2312" w:hAnsi="仿宋_GB2312" w:eastAsia="仿宋_GB2312" w:cs="仿宋_GB2312"/>
          <w:b w:val="0"/>
          <w:i w:val="0"/>
          <w:color w:val="000000" w:themeColor="text1"/>
          <w:sz w:val="32"/>
          <w:u w:val="none"/>
          <w14:textFill>
            <w14:solidFill>
              <w14:schemeClr w14:val="tx1"/>
            </w14:solidFill>
          </w14:textFill>
        </w:rPr>
        <w:t>政府</w:t>
      </w:r>
      <w:r>
        <w:rPr>
          <w:rFonts w:hint="eastAsia" w:ascii="仿宋_GB2312" w:hAnsi="仿宋_GB2312" w:eastAsia="仿宋_GB2312" w:cs="仿宋_GB2312"/>
          <w:b w:val="0"/>
          <w:i w:val="0"/>
          <w:color w:val="000000" w:themeColor="text1"/>
          <w:sz w:val="32"/>
          <w:u w:val="none"/>
          <w:lang w:val="en-US" w:eastAsia="zh-CN"/>
          <w14:textFill>
            <w14:solidFill>
              <w14:schemeClr w14:val="tx1"/>
            </w14:solidFill>
          </w14:textFill>
        </w:rPr>
        <w:t>（社区）</w:t>
      </w:r>
      <w:r>
        <w:rPr>
          <w:rFonts w:hint="eastAsia" w:ascii="仿宋_GB2312" w:hAnsi="仿宋_GB2312" w:eastAsia="仿宋_GB2312" w:cs="仿宋_GB2312"/>
          <w:b w:val="0"/>
          <w:i w:val="0"/>
          <w:color w:val="000000" w:themeColor="text1"/>
          <w:sz w:val="32"/>
          <w:u w:val="none"/>
          <w14:textFill>
            <w14:solidFill>
              <w14:schemeClr w14:val="tx1"/>
            </w14:solidFill>
          </w14:textFill>
        </w:rPr>
        <w:t>驻地所在的行政村</w:t>
      </w:r>
      <w:r>
        <w:rPr>
          <w:rFonts w:hint="eastAsia" w:ascii="仿宋" w:hAnsi="仿宋" w:eastAsia="仿宋" w:cs="宋体"/>
          <w:bCs/>
          <w:color w:val="000000" w:themeColor="text1"/>
          <w:sz w:val="30"/>
          <w:szCs w:val="30"/>
          <w:lang w:val="en-US" w:eastAsia="zh-CN"/>
          <w14:textFill>
            <w14:solidFill>
              <w14:schemeClr w14:val="tx1"/>
            </w14:solidFill>
          </w14:textFill>
        </w:rPr>
        <w:t>，是当地政治、经济、文化中心；</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（四）建制村指依法设定的行政村，包含行政村所辖全部区域；</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（五）其他各类市场主要指相对封闭管理的区域。</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第八条</w:t>
      </w:r>
      <w:r>
        <w:rPr>
          <w:rFonts w:hint="eastAsia" w:ascii="仿宋" w:hAnsi="仿宋" w:eastAsia="仿宋" w:cs="宋体"/>
          <w:bCs/>
          <w:color w:val="000000" w:themeColor="text1"/>
          <w:sz w:val="30"/>
          <w:szCs w:val="30"/>
          <w:lang w:val="en-US" w:eastAsia="zh-CN"/>
          <w14:textFill>
            <w14:solidFill>
              <w14:schemeClr w14:val="tx1"/>
            </w14:solidFill>
          </w14:textFill>
        </w:rPr>
        <w:t xml:space="preserve"> 南郑区主</w:t>
      </w:r>
      <w:r>
        <w:rPr>
          <w:rFonts w:hint="default" w:ascii="仿宋" w:hAnsi="仿宋" w:eastAsia="仿宋" w:cs="宋体"/>
          <w:bCs/>
          <w:color w:val="000000" w:themeColor="text1"/>
          <w:sz w:val="30"/>
          <w:szCs w:val="30"/>
          <w:lang w:val="en-US" w:eastAsia="zh-CN"/>
          <w14:textFill>
            <w14:solidFill>
              <w14:schemeClr w14:val="tx1"/>
            </w14:solidFill>
          </w14:textFill>
        </w:rPr>
        <w:t>城区、</w:t>
      </w:r>
      <w:r>
        <w:rPr>
          <w:rFonts w:hint="eastAsia" w:ascii="仿宋" w:hAnsi="仿宋" w:eastAsia="仿宋" w:cs="宋体"/>
          <w:bCs/>
          <w:color w:val="000000" w:themeColor="text1"/>
          <w:sz w:val="30"/>
          <w:szCs w:val="30"/>
          <w:lang w:val="en-US" w:eastAsia="zh-CN"/>
          <w14:textFill>
            <w14:solidFill>
              <w14:schemeClr w14:val="tx1"/>
            </w14:solidFill>
          </w14:textFill>
        </w:rPr>
        <w:t>副城区</w:t>
      </w:r>
      <w:r>
        <w:rPr>
          <w:rFonts w:hint="default" w:ascii="仿宋" w:hAnsi="仿宋" w:eastAsia="仿宋" w:cs="宋体"/>
          <w:bCs/>
          <w:color w:val="000000" w:themeColor="text1"/>
          <w:sz w:val="30"/>
          <w:szCs w:val="30"/>
          <w:lang w:val="en-US" w:eastAsia="zh-CN"/>
          <w14:textFill>
            <w14:solidFill>
              <w14:schemeClr w14:val="tx1"/>
            </w14:solidFill>
          </w14:textFill>
        </w:rPr>
        <w:t>、</w:t>
      </w:r>
      <w:r>
        <w:rPr>
          <w:rFonts w:hint="eastAsia" w:ascii="仿宋" w:hAnsi="仿宋" w:eastAsia="仿宋" w:cs="宋体"/>
          <w:bCs/>
          <w:color w:val="000000" w:themeColor="text1"/>
          <w:sz w:val="30"/>
          <w:szCs w:val="30"/>
          <w:lang w:val="en-US" w:eastAsia="zh-CN"/>
          <w14:textFill>
            <w14:solidFill>
              <w14:schemeClr w14:val="tx1"/>
            </w14:solidFill>
          </w14:textFill>
        </w:rPr>
        <w:t>乡（镇）所在地、建制村烟草制品</w:t>
      </w:r>
      <w:r>
        <w:rPr>
          <w:rFonts w:hint="default" w:ascii="仿宋" w:hAnsi="仿宋" w:eastAsia="仿宋" w:cs="宋体"/>
          <w:bCs/>
          <w:color w:val="000000" w:themeColor="text1"/>
          <w:sz w:val="30"/>
          <w:szCs w:val="30"/>
          <w:lang w:val="en-US" w:eastAsia="zh-CN"/>
          <w14:textFill>
            <w14:solidFill>
              <w14:schemeClr w14:val="tx1"/>
            </w14:solidFill>
          </w14:textFill>
        </w:rPr>
        <w:t>零售点的设置，应符合下列布局</w:t>
      </w:r>
      <w:r>
        <w:rPr>
          <w:rFonts w:hint="eastAsia" w:ascii="仿宋" w:hAnsi="仿宋" w:eastAsia="仿宋" w:cs="宋体"/>
          <w:bCs/>
          <w:color w:val="000000" w:themeColor="text1"/>
          <w:sz w:val="30"/>
          <w:szCs w:val="30"/>
          <w:lang w:val="en-US" w:eastAsia="zh-CN"/>
          <w14:textFill>
            <w14:solidFill>
              <w14:schemeClr w14:val="tx1"/>
            </w14:solidFill>
          </w14:textFill>
        </w:rPr>
        <w:t>标准</w:t>
      </w:r>
      <w:r>
        <w:rPr>
          <w:rFonts w:hint="default" w:ascii="仿宋" w:hAnsi="仿宋" w:eastAsia="仿宋" w:cs="宋体"/>
          <w:bCs/>
          <w:color w:val="000000" w:themeColor="text1"/>
          <w:sz w:val="30"/>
          <w:szCs w:val="30"/>
          <w:lang w:val="en-US" w:eastAsia="zh-CN"/>
          <w14:textFill>
            <w14:solidFill>
              <w14:schemeClr w14:val="tx1"/>
            </w14:solidFill>
          </w14:textFill>
        </w:rPr>
        <w:t>：</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default" w:ascii="仿宋" w:hAnsi="仿宋" w:eastAsia="仿宋" w:cs="宋体"/>
          <w:bCs/>
          <w:color w:val="000000" w:themeColor="text1"/>
          <w:sz w:val="30"/>
          <w:szCs w:val="30"/>
          <w:lang w:val="en-US" w:eastAsia="zh-CN"/>
          <w14:textFill>
            <w14:solidFill>
              <w14:schemeClr w14:val="tx1"/>
            </w14:solidFill>
          </w14:textFill>
        </w:rPr>
        <w:t>（一）</w:t>
      </w:r>
      <w:r>
        <w:rPr>
          <w:rFonts w:hint="eastAsia" w:ascii="仿宋" w:hAnsi="仿宋" w:eastAsia="仿宋" w:cs="宋体"/>
          <w:bCs/>
          <w:color w:val="000000" w:themeColor="text1"/>
          <w:sz w:val="30"/>
          <w:szCs w:val="30"/>
          <w:lang w:val="en-US" w:eastAsia="zh-CN"/>
          <w14:textFill>
            <w14:solidFill>
              <w14:schemeClr w14:val="tx1"/>
            </w14:solidFill>
          </w14:textFill>
        </w:rPr>
        <w:t>主</w:t>
      </w:r>
      <w:r>
        <w:rPr>
          <w:rFonts w:hint="default" w:ascii="仿宋" w:hAnsi="仿宋" w:eastAsia="仿宋" w:cs="宋体"/>
          <w:bCs/>
          <w:color w:val="000000" w:themeColor="text1"/>
          <w:sz w:val="30"/>
          <w:szCs w:val="30"/>
          <w:lang w:val="en-US" w:eastAsia="zh-CN"/>
          <w14:textFill>
            <w14:solidFill>
              <w14:schemeClr w14:val="tx1"/>
            </w14:solidFill>
          </w14:textFill>
        </w:rPr>
        <w:t>城区主要街道，零售点间距不低于</w:t>
      </w:r>
      <w:r>
        <w:rPr>
          <w:rFonts w:hint="eastAsia" w:ascii="仿宋" w:hAnsi="仿宋" w:eastAsia="仿宋" w:cs="宋体"/>
          <w:bCs/>
          <w:color w:val="000000" w:themeColor="text1"/>
          <w:sz w:val="30"/>
          <w:szCs w:val="30"/>
          <w:lang w:val="en-US" w:eastAsia="zh-CN"/>
          <w14:textFill>
            <w14:solidFill>
              <w14:schemeClr w14:val="tx1"/>
            </w14:solidFill>
          </w14:textFill>
        </w:rPr>
        <w:t>50</w:t>
      </w:r>
      <w:r>
        <w:rPr>
          <w:rFonts w:hint="default" w:ascii="仿宋" w:hAnsi="仿宋" w:eastAsia="仿宋" w:cs="宋体"/>
          <w:bCs/>
          <w:color w:val="000000" w:themeColor="text1"/>
          <w:sz w:val="30"/>
          <w:szCs w:val="30"/>
          <w:lang w:val="en-US" w:eastAsia="zh-CN"/>
          <w14:textFill>
            <w14:solidFill>
              <w14:schemeClr w14:val="tx1"/>
            </w14:solidFill>
          </w14:textFill>
        </w:rPr>
        <w:t>米可设置1个零售点</w:t>
      </w:r>
      <w:r>
        <w:rPr>
          <w:rFonts w:hint="eastAsia" w:ascii="仿宋" w:hAnsi="仿宋" w:eastAsia="仿宋" w:cs="宋体"/>
          <w:bCs/>
          <w:color w:val="000000" w:themeColor="text1"/>
          <w:sz w:val="30"/>
          <w:szCs w:val="30"/>
          <w:lang w:val="en-US" w:eastAsia="zh-CN"/>
          <w14:textFill>
            <w14:solidFill>
              <w14:schemeClr w14:val="tx1"/>
            </w14:solidFill>
          </w14:textFill>
        </w:rPr>
        <w:t>；主城区一般街道、新建街道零售点间距不低于80米可设置1个零售点</w:t>
      </w:r>
      <w:r>
        <w:rPr>
          <w:rFonts w:hint="default" w:ascii="仿宋" w:hAnsi="仿宋" w:eastAsia="仿宋" w:cs="宋体"/>
          <w:bCs/>
          <w:color w:val="000000" w:themeColor="text1"/>
          <w:sz w:val="30"/>
          <w:szCs w:val="30"/>
          <w:lang w:val="en-US" w:eastAsia="zh-CN"/>
          <w14:textFill>
            <w14:solidFill>
              <w14:schemeClr w14:val="tx1"/>
            </w14:solidFill>
          </w14:textFill>
        </w:rPr>
        <w:t>（</w:t>
      </w:r>
      <w:r>
        <w:rPr>
          <w:rFonts w:hint="eastAsia" w:ascii="仿宋" w:hAnsi="仿宋" w:eastAsia="仿宋" w:cs="宋体"/>
          <w:bCs/>
          <w:color w:val="000000" w:themeColor="text1"/>
          <w:sz w:val="30"/>
          <w:szCs w:val="30"/>
          <w:lang w:val="en-US" w:eastAsia="zh-CN"/>
          <w14:textFill>
            <w14:solidFill>
              <w14:schemeClr w14:val="tx1"/>
            </w14:solidFill>
          </w14:textFill>
        </w:rPr>
        <w:t>街道类型划分，</w:t>
      </w:r>
      <w:r>
        <w:rPr>
          <w:rFonts w:hint="default" w:ascii="仿宋" w:hAnsi="仿宋" w:eastAsia="仿宋" w:cs="宋体"/>
          <w:bCs/>
          <w:color w:val="000000" w:themeColor="text1"/>
          <w:sz w:val="30"/>
          <w:szCs w:val="30"/>
          <w:lang w:val="en-US" w:eastAsia="zh-CN"/>
          <w14:textFill>
            <w14:solidFill>
              <w14:schemeClr w14:val="tx1"/>
            </w14:solidFill>
          </w14:textFill>
        </w:rPr>
        <w:t>详见附件</w:t>
      </w:r>
      <w:r>
        <w:rPr>
          <w:rFonts w:hint="eastAsia" w:ascii="仿宋" w:hAnsi="仿宋" w:eastAsia="仿宋" w:cs="宋体"/>
          <w:bCs/>
          <w:color w:val="000000" w:themeColor="text1"/>
          <w:sz w:val="30"/>
          <w:szCs w:val="30"/>
          <w:lang w:val="en-US" w:eastAsia="zh-CN"/>
          <w14:textFill>
            <w14:solidFill>
              <w14:schemeClr w14:val="tx1"/>
            </w14:solidFill>
          </w14:textFill>
        </w:rPr>
        <w:t>1</w:t>
      </w:r>
      <w:r>
        <w:rPr>
          <w:rFonts w:hint="default" w:ascii="仿宋" w:hAnsi="仿宋" w:eastAsia="仿宋" w:cs="宋体"/>
          <w:bCs/>
          <w:color w:val="000000" w:themeColor="text1"/>
          <w:sz w:val="30"/>
          <w:szCs w:val="30"/>
          <w:lang w:val="en-US" w:eastAsia="zh-CN"/>
          <w14:textFill>
            <w14:solidFill>
              <w14:schemeClr w14:val="tx1"/>
            </w14:solidFill>
          </w14:textFill>
        </w:rPr>
        <w:t>）</w:t>
      </w:r>
      <w:r>
        <w:rPr>
          <w:rFonts w:hint="eastAsia" w:ascii="仿宋" w:hAnsi="仿宋" w:eastAsia="仿宋" w:cs="宋体"/>
          <w:bCs/>
          <w:color w:val="000000" w:themeColor="text1"/>
          <w:sz w:val="30"/>
          <w:szCs w:val="30"/>
          <w:lang w:val="en-US" w:eastAsia="zh-CN"/>
          <w14:textFill>
            <w14:solidFill>
              <w14:schemeClr w14:val="tx1"/>
            </w14:solidFill>
          </w14:textFill>
        </w:rPr>
        <w:t>；</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default" w:ascii="仿宋" w:hAnsi="仿宋" w:eastAsia="仿宋" w:cs="宋体"/>
          <w:bCs/>
          <w:color w:val="000000" w:themeColor="text1"/>
          <w:sz w:val="30"/>
          <w:szCs w:val="30"/>
          <w:lang w:val="en-US" w:eastAsia="zh-CN"/>
          <w14:textFill>
            <w14:solidFill>
              <w14:schemeClr w14:val="tx1"/>
            </w14:solidFill>
          </w14:textFill>
        </w:rPr>
        <w:t>（二）</w:t>
      </w:r>
      <w:r>
        <w:rPr>
          <w:rFonts w:hint="eastAsia" w:ascii="仿宋" w:hAnsi="仿宋" w:eastAsia="仿宋" w:cs="宋体"/>
          <w:bCs/>
          <w:color w:val="000000" w:themeColor="text1"/>
          <w:sz w:val="30"/>
          <w:szCs w:val="30"/>
          <w:lang w:val="en-US" w:eastAsia="zh-CN"/>
          <w14:textFill>
            <w14:solidFill>
              <w14:schemeClr w14:val="tx1"/>
            </w14:solidFill>
          </w14:textFill>
        </w:rPr>
        <w:t>副</w:t>
      </w:r>
      <w:r>
        <w:rPr>
          <w:rFonts w:hint="default" w:ascii="仿宋" w:hAnsi="仿宋" w:eastAsia="仿宋" w:cs="宋体"/>
          <w:bCs/>
          <w:color w:val="000000" w:themeColor="text1"/>
          <w:sz w:val="30"/>
          <w:szCs w:val="30"/>
          <w:lang w:val="en-US" w:eastAsia="zh-CN"/>
          <w14:textFill>
            <w14:solidFill>
              <w14:schemeClr w14:val="tx1"/>
            </w14:solidFill>
          </w14:textFill>
        </w:rPr>
        <w:t>城区零售点间距不低于</w:t>
      </w:r>
      <w:r>
        <w:rPr>
          <w:rFonts w:hint="eastAsia" w:ascii="仿宋" w:hAnsi="仿宋" w:eastAsia="仿宋" w:cs="宋体"/>
          <w:bCs/>
          <w:color w:val="000000" w:themeColor="text1"/>
          <w:sz w:val="30"/>
          <w:szCs w:val="30"/>
          <w:lang w:val="en-US" w:eastAsia="zh-CN"/>
          <w14:textFill>
            <w14:solidFill>
              <w14:schemeClr w14:val="tx1"/>
            </w14:solidFill>
          </w14:textFill>
        </w:rPr>
        <w:t>100</w:t>
      </w:r>
      <w:r>
        <w:rPr>
          <w:rFonts w:hint="default" w:ascii="仿宋" w:hAnsi="仿宋" w:eastAsia="仿宋" w:cs="宋体"/>
          <w:bCs/>
          <w:color w:val="000000" w:themeColor="text1"/>
          <w:sz w:val="30"/>
          <w:szCs w:val="30"/>
          <w:lang w:val="en-US" w:eastAsia="zh-CN"/>
          <w14:textFill>
            <w14:solidFill>
              <w14:schemeClr w14:val="tx1"/>
            </w14:solidFill>
          </w14:textFill>
        </w:rPr>
        <w:t>米设置1个零售点（</w:t>
      </w:r>
      <w:r>
        <w:rPr>
          <w:rFonts w:hint="eastAsia" w:ascii="仿宋" w:hAnsi="仿宋" w:eastAsia="仿宋" w:cs="宋体"/>
          <w:bCs/>
          <w:color w:val="000000" w:themeColor="text1"/>
          <w:sz w:val="30"/>
          <w:szCs w:val="30"/>
          <w:lang w:val="en-US" w:eastAsia="zh-CN"/>
          <w14:textFill>
            <w14:solidFill>
              <w14:schemeClr w14:val="tx1"/>
            </w14:solidFill>
          </w14:textFill>
        </w:rPr>
        <w:t>副城区的界定，</w:t>
      </w:r>
      <w:r>
        <w:rPr>
          <w:rFonts w:hint="default" w:ascii="仿宋" w:hAnsi="仿宋" w:eastAsia="仿宋" w:cs="宋体"/>
          <w:bCs/>
          <w:color w:val="000000" w:themeColor="text1"/>
          <w:sz w:val="30"/>
          <w:szCs w:val="30"/>
          <w:lang w:val="en-US" w:eastAsia="zh-CN"/>
          <w14:textFill>
            <w14:solidFill>
              <w14:schemeClr w14:val="tx1"/>
            </w14:solidFill>
          </w14:textFill>
        </w:rPr>
        <w:t>详见附件</w:t>
      </w:r>
      <w:r>
        <w:rPr>
          <w:rFonts w:hint="eastAsia" w:ascii="仿宋" w:hAnsi="仿宋" w:eastAsia="仿宋" w:cs="宋体"/>
          <w:bCs/>
          <w:color w:val="000000" w:themeColor="text1"/>
          <w:sz w:val="30"/>
          <w:szCs w:val="30"/>
          <w:lang w:val="en-US" w:eastAsia="zh-CN"/>
          <w14:textFill>
            <w14:solidFill>
              <w14:schemeClr w14:val="tx1"/>
            </w14:solidFill>
          </w14:textFill>
        </w:rPr>
        <w:t>2</w:t>
      </w:r>
      <w:r>
        <w:rPr>
          <w:rFonts w:hint="default" w:ascii="仿宋" w:hAnsi="仿宋" w:eastAsia="仿宋" w:cs="宋体"/>
          <w:bCs/>
          <w:color w:val="000000" w:themeColor="text1"/>
          <w:sz w:val="30"/>
          <w:szCs w:val="30"/>
          <w:lang w:val="en-US" w:eastAsia="zh-CN"/>
          <w14:textFill>
            <w14:solidFill>
              <w14:schemeClr w14:val="tx1"/>
            </w14:solidFill>
          </w14:textFill>
        </w:rPr>
        <w:t>）</w:t>
      </w:r>
      <w:r>
        <w:rPr>
          <w:rFonts w:hint="eastAsia" w:ascii="仿宋" w:hAnsi="仿宋" w:eastAsia="仿宋" w:cs="宋体"/>
          <w:bCs/>
          <w:color w:val="000000" w:themeColor="text1"/>
          <w:sz w:val="30"/>
          <w:szCs w:val="30"/>
          <w:lang w:val="en-US" w:eastAsia="zh-CN"/>
          <w14:textFill>
            <w14:solidFill>
              <w14:schemeClr w14:val="tx1"/>
            </w14:solidFill>
          </w14:textFill>
        </w:rPr>
        <w:t>；</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三）乡（镇）采用“容量+间距”方式布局，以该乡镇市场内近三年内卷烟消费趋势和当地政府公布的上一年度居民人均可支配收入（当地政府国民经济和社会发展统计公报）换算的销售数量作为区域总量设置的依据，且零售店间距不少于30米。</w:t>
      </w:r>
    </w:p>
    <w:p>
      <w:pPr>
        <w:numPr>
          <w:ilvl w:val="0"/>
          <w:numId w:val="0"/>
        </w:numPr>
        <w:ind w:firstLine="640"/>
        <w:rPr>
          <w:rFonts w:hint="eastAsia" w:ascii="仿宋_GB2312" w:hAnsi="仿宋_GB2312" w:eastAsia="仿宋_GB2312" w:cs="仿宋_GB2312"/>
          <w:b w:val="0"/>
          <w:i w:val="0"/>
          <w:color w:val="000000" w:themeColor="text1"/>
          <w:sz w:val="32"/>
          <w:highlight w:val="none"/>
          <w:u w:val="none"/>
          <w:lang w:val="en-US" w:eastAsia="zh-CN"/>
          <w14:textFill>
            <w14:solidFill>
              <w14:schemeClr w14:val="tx1"/>
            </w14:solidFill>
          </w14:textFill>
        </w:rPr>
      </w:pPr>
      <w:r>
        <w:rPr>
          <w:rFonts w:hint="eastAsia" w:ascii="仿宋_GB2312" w:hAnsi="仿宋_GB2312" w:eastAsia="仿宋_GB2312" w:cs="仿宋_GB2312"/>
          <w:b w:val="0"/>
          <w:i w:val="0"/>
          <w:color w:val="000000" w:themeColor="text1"/>
          <w:sz w:val="32"/>
          <w:highlight w:val="none"/>
          <w:u w:val="none"/>
          <w:lang w:val="en-US" w:eastAsia="zh-CN"/>
          <w14:textFill>
            <w14:solidFill>
              <w14:schemeClr w14:val="tx1"/>
            </w14:solidFill>
          </w14:textFill>
        </w:rPr>
        <w:t>乡（镇）</w:t>
      </w:r>
      <w:r>
        <w:rPr>
          <w:rFonts w:hint="default" w:ascii="仿宋_GB2312" w:hAnsi="仿宋_GB2312" w:eastAsia="仿宋_GB2312" w:cs="仿宋_GB2312"/>
          <w:b w:val="0"/>
          <w:i w:val="0"/>
          <w:color w:val="000000" w:themeColor="text1"/>
          <w:sz w:val="32"/>
          <w:highlight w:val="none"/>
          <w:u w:val="none"/>
          <w:lang w:eastAsia="zh-CN"/>
          <w14:textFill>
            <w14:solidFill>
              <w14:schemeClr w14:val="tx1"/>
            </w14:solidFill>
          </w14:textFill>
        </w:rPr>
        <w:t>区域总量</w:t>
      </w:r>
      <w:r>
        <w:rPr>
          <w:rFonts w:hint="eastAsia" w:ascii="仿宋_GB2312" w:hAnsi="仿宋_GB2312" w:eastAsia="仿宋_GB2312" w:cs="仿宋_GB2312"/>
          <w:b w:val="0"/>
          <w:i w:val="0"/>
          <w:color w:val="000000" w:themeColor="text1"/>
          <w:sz w:val="32"/>
          <w:highlight w:val="none"/>
          <w:u w:val="none"/>
          <w:lang w:val="en-US" w:eastAsia="zh-CN"/>
          <w14:textFill>
            <w14:solidFill>
              <w14:schemeClr w14:val="tx1"/>
            </w14:solidFill>
          </w14:textFill>
        </w:rPr>
        <w:t>=（前3年度销量*1+前2年度销量*2+前1年度销量*3）÷6÷(上年度南郑区全体居民人均可支配收入÷10（条均毛利）)</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如该</w:t>
      </w:r>
      <w:r>
        <w:rPr>
          <w:rFonts w:hint="eastAsia" w:ascii="仿宋_GB2312" w:hAnsi="仿宋_GB2312" w:eastAsia="仿宋_GB2312" w:cs="仿宋_GB2312"/>
          <w:b w:val="0"/>
          <w:i w:val="0"/>
          <w:color w:val="000000" w:themeColor="text1"/>
          <w:sz w:val="32"/>
          <w:highlight w:val="none"/>
          <w:u w:val="none"/>
          <w:lang w:val="en-US" w:eastAsia="zh-CN"/>
          <w14:textFill>
            <w14:solidFill>
              <w14:schemeClr w14:val="tx1"/>
            </w14:solidFill>
          </w14:textFill>
        </w:rPr>
        <w:t>乡（镇）</w:t>
      </w:r>
      <w:r>
        <w:rPr>
          <w:rFonts w:hint="eastAsia" w:ascii="仿宋" w:hAnsi="仿宋" w:eastAsia="仿宋" w:cs="宋体"/>
          <w:bCs/>
          <w:color w:val="000000" w:themeColor="text1"/>
          <w:sz w:val="30"/>
          <w:szCs w:val="30"/>
          <w:lang w:val="en-US" w:eastAsia="zh-CN"/>
          <w14:textFill>
            <w14:solidFill>
              <w14:schemeClr w14:val="tx1"/>
            </w14:solidFill>
          </w14:textFill>
        </w:rPr>
        <w:t>内零售点数量达到或已超过区域总量的，待减少至总量后，采取“退一进一”的标准进行核发。</w:t>
      </w:r>
    </w:p>
    <w:p>
      <w:pPr>
        <w:numPr>
          <w:ilvl w:val="0"/>
          <w:numId w:val="0"/>
        </w:numPr>
        <w:ind w:firstLine="640" w:firstLineChars="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（四）</w:t>
      </w:r>
      <w:r>
        <w:rPr>
          <w:rFonts w:hint="eastAsia" w:ascii="仿宋" w:hAnsi="仿宋" w:eastAsia="仿宋" w:cs="宋体"/>
          <w:bCs/>
          <w:color w:val="000000" w:themeColor="text1"/>
          <w:sz w:val="30"/>
          <w:szCs w:val="30"/>
          <w:lang w:val="en-US" w:eastAsia="zh-CN"/>
          <w14:textFill>
            <w14:solidFill>
              <w14:schemeClr w14:val="tx1"/>
            </w14:solidFill>
          </w14:textFill>
        </w:rPr>
        <w:t>建制村采用</w:t>
      </w:r>
      <w:r>
        <w:rPr>
          <w:rFonts w:hint="eastAsia" w:ascii="仿宋_GB2312" w:hAnsi="仿宋_GB2312" w:eastAsia="仿宋_GB2312" w:cs="仿宋_GB2312"/>
          <w:b w:val="0"/>
          <w:i w:val="0"/>
          <w:color w:val="000000" w:themeColor="text1"/>
          <w:sz w:val="32"/>
          <w:u w:val="none"/>
          <w14:textFill>
            <w14:solidFill>
              <w14:schemeClr w14:val="tx1"/>
            </w14:solidFill>
          </w14:textFill>
        </w:rPr>
        <w:t>总量控制方式布局</w:t>
      </w:r>
      <w:r>
        <w:rPr>
          <w:rFonts w:hint="eastAsia" w:ascii="仿宋_GB2312" w:hAnsi="仿宋_GB2312" w:eastAsia="仿宋_GB2312" w:cs="仿宋_GB2312"/>
          <w:b w:val="0"/>
          <w:i w:val="0"/>
          <w:color w:val="000000" w:themeColor="text1"/>
          <w:sz w:val="32"/>
          <w:u w:val="none"/>
          <w:lang w:eastAsia="zh-CN"/>
          <w14:textFill>
            <w14:solidFill>
              <w14:schemeClr w14:val="tx1"/>
            </w14:solidFill>
          </w14:textFill>
        </w:rPr>
        <w:t>，</w:t>
      </w:r>
      <w:r>
        <w:rPr>
          <w:rFonts w:hint="default" w:ascii="仿宋" w:hAnsi="仿宋" w:eastAsia="仿宋" w:cs="宋体"/>
          <w:bCs/>
          <w:color w:val="000000" w:themeColor="text1"/>
          <w:sz w:val="30"/>
          <w:szCs w:val="30"/>
          <w:lang w:val="en-US" w:eastAsia="zh-CN"/>
          <w14:textFill>
            <w14:solidFill>
              <w14:schemeClr w14:val="tx1"/>
            </w14:solidFill>
          </w14:textFill>
        </w:rPr>
        <w:t>按照每350人设置1个零售点</w:t>
      </w:r>
      <w:r>
        <w:rPr>
          <w:rFonts w:hint="eastAsia" w:ascii="仿宋" w:hAnsi="仿宋" w:eastAsia="仿宋" w:cs="宋体"/>
          <w:bCs/>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b w:val="0"/>
          <w:i w:val="0"/>
          <w:color w:val="000000" w:themeColor="text1"/>
          <w:sz w:val="32"/>
          <w:u w:val="none"/>
          <w14:textFill>
            <w14:solidFill>
              <w14:schemeClr w14:val="tx1"/>
            </w14:solidFill>
          </w14:textFill>
        </w:rPr>
        <w:t>人口超过250人，但不足350人的情况可按照350人计算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。行政村区域内零售点数量达到或已超过区域总量的，待减少至总量后，采取“退一进一”的标准进行核发。村的人口数量以公安机关出具的上一年度户籍人口数量为依据。</w:t>
      </w:r>
    </w:p>
    <w:p>
      <w:pPr>
        <w:numPr>
          <w:ilvl w:val="0"/>
          <w:numId w:val="0"/>
        </w:numPr>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建制村与主、副城区有重合、交叉的情况，按照主、副城区布局标准进行设置。</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 w:hAnsi="仿宋" w:eastAsia="仿宋" w:cs="宋体"/>
          <w:bCs/>
          <w:color w:val="000000" w:themeColor="text1"/>
          <w:sz w:val="30"/>
          <w:szCs w:val="30"/>
          <w:lang w:val="en-US" w:eastAsia="zh-CN"/>
          <w14:textFill>
            <w14:solidFill>
              <w14:schemeClr w14:val="tx1"/>
            </w14:solidFill>
          </w14:textFill>
        </w:rPr>
        <w:t>南郑辖区内供周边居民出行的背街小巷不设置卷烟零售点，已经存在零散零售点的背街小巷按照尊重历史的原则，以现有数量作为布局零售点的数量依据（“背街小巷”标准附后）。</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第九条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bCs/>
          <w:color w:val="000000" w:themeColor="text1"/>
          <w:sz w:val="30"/>
          <w:szCs w:val="30"/>
          <w:lang w:val="en-US" w:eastAsia="zh-CN"/>
          <w14:textFill>
            <w14:solidFill>
              <w14:schemeClr w14:val="tx1"/>
            </w14:solidFill>
          </w14:textFill>
        </w:rPr>
        <w:t>符合下列情形之一的各类市场单元，按上限设置烟草制品零售点，但中小学校、幼儿园周围等明令禁止的区域除外：</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（一）高铁站、汽车站的候车室（厅）内可设置1个零售点；高速路服务区单侧可设置 1 个零售点；</w:t>
      </w:r>
    </w:p>
    <w:p>
      <w:pPr>
        <w:numPr>
          <w:ilvl w:val="0"/>
          <w:numId w:val="0"/>
        </w:numPr>
        <w:ind w:firstLine="64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（二）相对封闭且独立的综合性市场、专业市场、贸易市场、各类商圈内部，在管理方允许且符合消防安全的情况下，根据市场经营面积大小，</w:t>
      </w:r>
      <w:r>
        <w:rPr>
          <w:rFonts w:hint="eastAsia" w:ascii="仿宋_GB2312" w:hAnsi="微软雅黑" w:eastAsia="仿宋_GB2312" w:cs="仿宋_GB2312"/>
          <w:i w:val="0"/>
          <w:iCs w:val="0"/>
          <w:caps w:val="0"/>
          <w:color w:val="000000" w:themeColor="text1"/>
          <w:spacing w:val="0"/>
          <w:kern w:val="0"/>
          <w:sz w:val="31"/>
          <w:szCs w:val="31"/>
          <w:shd w:val="clear" w:color="auto" w:fill="FFFFFF"/>
          <w:lang w:val="en-US" w:eastAsia="zh-CN" w:bidi="ar"/>
          <w14:textFill>
            <w14:solidFill>
              <w14:schemeClr w14:val="tx1"/>
            </w14:solidFill>
          </w14:textFill>
        </w:rPr>
        <w:t>最高</w:t>
      </w:r>
      <w:r>
        <w:rPr>
          <w:rFonts w:hint="eastAsia" w:ascii="仿宋" w:hAnsi="仿宋" w:eastAsia="仿宋" w:cs="宋体"/>
          <w:bCs/>
          <w:color w:val="000000" w:themeColor="text1"/>
          <w:sz w:val="30"/>
          <w:szCs w:val="30"/>
          <w:lang w:val="en-US" w:eastAsia="zh-CN"/>
          <w14:textFill>
            <w14:solidFill>
              <w14:schemeClr w14:val="tx1"/>
            </w14:solidFill>
          </w14:textFill>
        </w:rPr>
        <w:t>设置</w:t>
      </w:r>
      <w:r>
        <w:rPr>
          <w:rFonts w:hint="eastAsia" w:ascii="仿宋_GB2312" w:hAnsi="微软雅黑" w:eastAsia="仿宋_GB2312" w:cs="仿宋_GB2312"/>
          <w:i w:val="0"/>
          <w:iCs w:val="0"/>
          <w:caps w:val="0"/>
          <w:color w:val="000000" w:themeColor="text1"/>
          <w:spacing w:val="0"/>
          <w:kern w:val="0"/>
          <w:sz w:val="31"/>
          <w:szCs w:val="31"/>
          <w:shd w:val="clear" w:color="auto" w:fill="FFFFFF"/>
          <w:lang w:val="en-US" w:eastAsia="zh-CN" w:bidi="ar"/>
          <w14:textFill>
            <w14:solidFill>
              <w14:schemeClr w14:val="tx1"/>
            </w14:solidFill>
          </w14:textFill>
        </w:rPr>
        <w:t>不超过2个零售点</w:t>
      </w:r>
      <w:r>
        <w:rPr>
          <w:rFonts w:hint="eastAsia" w:ascii="仿宋" w:hAnsi="仿宋" w:eastAsia="仿宋" w:cs="宋体"/>
          <w:bCs/>
          <w:color w:val="000000" w:themeColor="text1"/>
          <w:sz w:val="30"/>
          <w:szCs w:val="30"/>
          <w:lang w:val="en-US" w:eastAsia="zh-CN"/>
          <w14:textFill>
            <w14:solidFill>
              <w14:schemeClr w14:val="tx1"/>
            </w14:solidFill>
          </w14:textFill>
        </w:rPr>
        <w:t>；</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（三）封闭管理的驻军部队、看守所、拘留所、戒毒所等特殊场所，超过500人且有对内经营需要的，可设置1个零售点；</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（四）用工人数在1000人以上的产业园区、高新技术产业园区、工业园区等场所，为满足内部员工消费需求，在企业允许且符合消防安全的情况下，可在生产区内的便利店、服务部等经营场所设置1个零售点；</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（五）辖区内旅游景点、风景区、公园内，在管理方允许且符合消防安全的情况下，根据景区大小，最多设置2个零售点。</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第十条</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bCs/>
          <w:color w:val="000000" w:themeColor="text1"/>
          <w:sz w:val="30"/>
          <w:szCs w:val="30"/>
          <w:lang w:val="en-US" w:eastAsia="zh-CN"/>
          <w14:textFill>
            <w14:solidFill>
              <w14:schemeClr w14:val="tx1"/>
            </w14:solidFill>
          </w14:textFill>
        </w:rPr>
        <w:t>符合下列情形之一的，按“一店一证、一证一址”的原则办理许可证，不受第八条规划的条件限制，但中小学校、幼儿园周围等明令禁止的区域除外：</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（一）营业面积1000平方米以上的超市，可设置1个零售点；</w:t>
      </w:r>
    </w:p>
    <w:p>
      <w:pPr>
        <w:numPr>
          <w:ilvl w:val="0"/>
          <w:numId w:val="0"/>
        </w:numPr>
        <w:ind w:firstLine="640"/>
        <w:rPr>
          <w:rFonts w:hint="default" w:ascii="仿宋" w:hAnsi="仿宋" w:eastAsia="仿宋_GB2312"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（二）客房数量200间以上，且</w:t>
      </w:r>
      <w:r>
        <w:rPr>
          <w:rFonts w:hint="eastAsia" w:ascii="仿宋_GB2312" w:hAnsi="仿宋_GB2312" w:eastAsia="仿宋_GB2312" w:cs="仿宋_GB2312"/>
          <w:b w:val="0"/>
          <w:i w:val="0"/>
          <w:color w:val="000000" w:themeColor="text1"/>
          <w:sz w:val="32"/>
          <w:u w:val="none"/>
          <w14:textFill>
            <w14:solidFill>
              <w14:schemeClr w14:val="tx1"/>
            </w14:solidFill>
          </w14:textFill>
        </w:rPr>
        <w:t>内部有独立吧台和卷烟存放场所</w:t>
      </w:r>
      <w:r>
        <w:rPr>
          <w:rFonts w:hint="eastAsia" w:ascii="仿宋_GB2312" w:hAnsi="仿宋_GB2312" w:eastAsia="仿宋_GB2312" w:cs="仿宋_GB2312"/>
          <w:b w:val="0"/>
          <w:i w:val="0"/>
          <w:color w:val="000000" w:themeColor="text1"/>
          <w:sz w:val="32"/>
          <w:u w:val="none"/>
          <w:lang w:val="en-US" w:eastAsia="zh-CN"/>
          <w14:textFill>
            <w14:solidFill>
              <w14:schemeClr w14:val="tx1"/>
            </w14:solidFill>
          </w14:textFill>
        </w:rPr>
        <w:t>的</w:t>
      </w:r>
      <w:r>
        <w:rPr>
          <w:rFonts w:hint="eastAsia" w:ascii="仿宋" w:hAnsi="仿宋" w:eastAsia="仿宋" w:cs="宋体"/>
          <w:bCs/>
          <w:color w:val="000000" w:themeColor="text1"/>
          <w:sz w:val="30"/>
          <w:szCs w:val="30"/>
          <w:lang w:val="en-US" w:eastAsia="zh-CN"/>
          <w14:textFill>
            <w14:solidFill>
              <w14:schemeClr w14:val="tx1"/>
            </w14:solidFill>
          </w14:textFill>
        </w:rPr>
        <w:t>宾馆、酒店，</w:t>
      </w:r>
      <w:r>
        <w:rPr>
          <w:rFonts w:hint="eastAsia" w:ascii="仿宋_GB2312" w:hAnsi="仿宋_GB2312" w:eastAsia="仿宋_GB2312" w:cs="仿宋_GB2312"/>
          <w:b w:val="0"/>
          <w:i w:val="0"/>
          <w:color w:val="000000" w:themeColor="text1"/>
          <w:sz w:val="32"/>
          <w:u w:val="none"/>
          <w:lang w:val="en-US" w:eastAsia="zh-CN"/>
          <w14:textFill>
            <w14:solidFill>
              <w14:schemeClr w14:val="tx1"/>
            </w14:solidFill>
          </w14:textFill>
        </w:rPr>
        <w:t>可</w:t>
      </w:r>
      <w:r>
        <w:rPr>
          <w:rFonts w:hint="eastAsia" w:ascii="仿宋" w:hAnsi="仿宋" w:eastAsia="仿宋" w:cs="宋体"/>
          <w:bCs/>
          <w:color w:val="000000" w:themeColor="text1"/>
          <w:sz w:val="30"/>
          <w:szCs w:val="30"/>
          <w:lang w:val="en-US" w:eastAsia="zh-CN"/>
          <w14:textFill>
            <w14:solidFill>
              <w14:schemeClr w14:val="tx1"/>
            </w14:solidFill>
          </w14:textFill>
        </w:rPr>
        <w:t>设置1个零售点；</w:t>
      </w:r>
    </w:p>
    <w:p>
      <w:pPr>
        <w:numPr>
          <w:ilvl w:val="0"/>
          <w:numId w:val="0"/>
        </w:numPr>
        <w:ind w:firstLine="640"/>
        <w:rPr>
          <w:rFonts w:hint="eastAsia"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（三）营业面积2000平方米以上的中大型商场以及酒吧、KTV等娱乐服务类场所，可设置1个零售点；</w:t>
      </w:r>
    </w:p>
    <w:p>
      <w:pPr>
        <w:numPr>
          <w:ilvl w:val="0"/>
          <w:numId w:val="0"/>
        </w:numPr>
        <w:ind w:firstLine="640"/>
        <w:rPr>
          <w:rFonts w:hint="default" w:ascii="仿宋" w:hAnsi="仿宋" w:eastAsia="仿宋" w:cs="宋体"/>
          <w:bCs/>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sz w:val="30"/>
          <w:szCs w:val="30"/>
          <w:lang w:val="en-US" w:eastAsia="zh-CN"/>
          <w14:textFill>
            <w14:solidFill>
              <w14:schemeClr w14:val="tx1"/>
            </w14:solidFill>
          </w14:textFill>
        </w:rPr>
        <w:t>（四）酒店、宾馆、超市属于同一建筑物内的，仅设置1个零售点。</w:t>
      </w:r>
    </w:p>
    <w:p>
      <w:pPr>
        <w:pStyle w:val="7"/>
        <w:shd w:val="clear" w:color="auto" w:fill="FFFFFF"/>
        <w:spacing w:before="0" w:beforeAutospacing="0" w:after="0" w:afterAutospacing="0" w:line="560" w:lineRule="exact"/>
        <w:ind w:firstLine="648"/>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第十一条</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具备下列情形，可在零售点间距、人口限制方面给予适当放宽，但中小学校、幼儿园周围等明令禁止的区域除外：</w:t>
      </w:r>
    </w:p>
    <w:p>
      <w:pPr>
        <w:numPr>
          <w:ilvl w:val="0"/>
          <w:numId w:val="0"/>
        </w:numPr>
        <w:ind w:firstLine="64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（一）</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特殊群体优待政策及标准</w:t>
      </w:r>
    </w:p>
    <w:p>
      <w:pPr>
        <w:numPr>
          <w:ilvl w:val="0"/>
          <w:numId w:val="0"/>
        </w:numPr>
        <w:ind w:firstLine="64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1.优待标准：</w:t>
      </w:r>
    </w:p>
    <w:p>
      <w:pPr>
        <w:numPr>
          <w:ilvl w:val="0"/>
          <w:numId w:val="0"/>
        </w:num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（1）就业或生活困难的</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烈士家属（父母、配偶、子女）首次申请办理烟草</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专卖</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零售许可证时</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凭相关证件</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，不受</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本规划数量、距离限制</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一份证明材料仅限办理一个</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烟草专卖零售许可证；</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2）持有军队颁发残疾等级证书的退伍军人；自主择业的两参（有相关证明）退伍军人，存在就业困难、生活困难的，首次烟草专卖零售申领可证时，有间距限制的区域间距可放宽50%，有数量限制的区域可额外增设1个零售点，一份证明材料仅限本人办理一个烟草专卖零售许可证；</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（3）对具备完全民事行为能力、持有民政部门核发的视力一、二级盲，肢体</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一、二级</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残疾</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听力一、二、三级残疾，言语一、二、三级残疾证明（中国残疾人联合会网站注册登记），存在就业困难、生活困难的残疾人，首次申领烟草专卖零售许可证时，有间距限制的区域间距可放宽50%，有人口数量限制的区域可增设1个零售点，一份证明材料仅限本人办理一个烟草专卖零售许可证。</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2.不予放宽、优待情形：</w:t>
      </w:r>
    </w:p>
    <w:p>
      <w:pPr>
        <w:pStyle w:val="3"/>
        <w:keepNext w:val="0"/>
        <w:keepLines w:val="0"/>
        <w:widowControl/>
        <w:suppressLineNumbers w:val="0"/>
        <w:ind w:left="0" w:firstLine="64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（1）</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有固定职业及稳定收入来源的；</w:t>
      </w:r>
    </w:p>
    <w:p>
      <w:pPr>
        <w:pStyle w:val="3"/>
        <w:keepNext w:val="0"/>
        <w:keepLines w:val="0"/>
        <w:widowControl/>
        <w:suppressLineNumbers w:val="0"/>
        <w:ind w:left="0" w:firstLine="64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（2）</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享受退休、退职、退养待遇具有稳定生活保障的；</w:t>
      </w:r>
    </w:p>
    <w:p>
      <w:pPr>
        <w:pStyle w:val="3"/>
        <w:keepNext w:val="0"/>
        <w:keepLines w:val="0"/>
        <w:widowControl/>
        <w:suppressLineNumbers w:val="0"/>
        <w:ind w:left="0" w:firstLine="64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（3）</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非本人或直系亲属（仅限配偶、父母、子女或法定监护人）经营的；</w:t>
      </w:r>
    </w:p>
    <w:p>
      <w:pPr>
        <w:keepNext w:val="0"/>
        <w:keepLines w:val="0"/>
        <w:widowControl/>
        <w:suppressLineNumbers w:val="0"/>
        <w:ind w:left="0" w:firstLine="640"/>
        <w:jc w:val="center"/>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（4）</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法律法规及其他规范性文件规定的不予放宽的情形。</w:t>
      </w:r>
    </w:p>
    <w:p>
      <w:pPr>
        <w:keepNext w:val="0"/>
        <w:keepLines w:val="0"/>
        <w:widowControl/>
        <w:suppressLineNumbers w:val="0"/>
        <w:ind w:left="0" w:firstLine="640"/>
        <w:jc w:val="left"/>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3.其他要求</w:t>
      </w:r>
    </w:p>
    <w:p>
      <w:pPr>
        <w:keepNext w:val="0"/>
        <w:keepLines w:val="0"/>
        <w:widowControl/>
        <w:suppressLineNumbers w:val="0"/>
        <w:ind w:left="0" w:firstLine="640"/>
        <w:jc w:val="left"/>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上述</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优待政策及</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标准仅限于申请人本人或直系亲属（仅限配偶、父母、子女或法定监护人）驻店经营，不包含委托、合伙、聘用经营等情形。申请人需具备完全民事行为能力并签署诚信经营承诺。学校、幼儿园周边等明令禁止的区域应当从其规定。</w:t>
      </w:r>
    </w:p>
    <w:p>
      <w:pPr>
        <w:keepNext w:val="0"/>
        <w:keepLines w:val="0"/>
        <w:widowControl/>
        <w:suppressLineNumbers w:val="0"/>
        <w:shd w:val="clear" w:color="auto" w:fill="FFFFFF"/>
        <w:spacing w:before="30" w:beforeAutospacing="0" w:after="0" w:afterAutospacing="0"/>
        <w:ind w:left="46" w:right="30" w:firstLine="620" w:firstLineChars="200"/>
        <w:jc w:val="left"/>
        <w:rPr>
          <w:rFonts w:hint="eastAsia" w:ascii="仿宋_GB2312" w:hAnsi="宋体" w:eastAsia="仿宋_GB2312" w:cs="仿宋_GB2312"/>
          <w:i w:val="0"/>
          <w:iCs w:val="0"/>
          <w:caps w:val="0"/>
          <w:color w:val="000000" w:themeColor="text1"/>
          <w:spacing w:val="0"/>
          <w:sz w:val="31"/>
          <w:szCs w:val="31"/>
          <w:shd w:val="clear" w:color="auto"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1"/>
          <w:szCs w:val="31"/>
          <w:shd w:val="clear" w:color="auto" w:fill="FFFFFF"/>
          <w:lang w:val="en-US" w:eastAsia="zh-CN"/>
          <w14:textFill>
            <w14:solidFill>
              <w14:schemeClr w14:val="tx1"/>
            </w14:solidFill>
          </w14:textFill>
        </w:rPr>
        <w:t>（二）因道路规划、城市建设等客观原因造成无法在核定经营地址经营，在原许可证歇业后3个月内持证人凭县（区）级以上人民政府拆迁文件（公告）,申请变更到辖区内其他地址经营的，应当符合当地合理布局要求。对于3年内无涉烟违法行为的经营主体，可以适当放宽标准。具体为：在有间距限制的区域间距可放宽30%；有数量限制的区域可额外增设1个零售点。</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三）因中小学、幼儿园的新建、改造及修订合理布局标准等原因造成经营地址不符合相关法律法规规定的，原持证人自接收到告知书之日起3个月内，主动办理相关手续，并在辖区内选址重新申领许可证的情形，可以适当放宽标准，具体为：在有间距限制的区域间距可放宽50%；有人口数量限制的区域可增设1个零售点。仅限办理一个烟草专卖零售许可证。</w:t>
      </w:r>
    </w:p>
    <w:p>
      <w:pPr>
        <w:keepNext w:val="0"/>
        <w:keepLines w:val="0"/>
        <w:widowControl/>
        <w:suppressLineNumbers w:val="0"/>
        <w:shd w:val="clear" w:color="auto" w:fill="FFFFFF"/>
        <w:spacing w:before="30" w:beforeAutospacing="0" w:after="0" w:afterAutospacing="0"/>
        <w:ind w:left="46" w:right="30" w:firstLine="620" w:firstLineChars="200"/>
        <w:jc w:val="left"/>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_GB2312" w:hAnsi="宋体" w:eastAsia="仿宋_GB2312" w:cs="仿宋_GB2312"/>
          <w:i w:val="0"/>
          <w:iCs w:val="0"/>
          <w:caps w:val="0"/>
          <w:color w:val="000000" w:themeColor="text1"/>
          <w:spacing w:val="0"/>
          <w:sz w:val="31"/>
          <w:szCs w:val="31"/>
          <w:shd w:val="clear" w:color="auto" w:fill="FFFFFF"/>
          <w:lang w:val="en-US" w:eastAsia="zh-CN"/>
          <w14:textFill>
            <w14:solidFill>
              <w14:schemeClr w14:val="tx1"/>
            </w14:solidFill>
          </w14:textFill>
        </w:rPr>
        <w:t>（四）租赁企事业单位房屋开展经营的主体，且许可证在有效期内，因租赁方原因提前终止租赁，持证主体无法在核定经营地址经营的，持证人凭企事业单位相关文件（公告），并在原许可证注销后3个月内需要重新选址经营，且3年内无涉烟违法行为的经营主体，可以适当放宽标准，具体为：在有间距限制的区域间距可放宽20%。仅限办理一个烟草制品零售许可证。</w:t>
      </w:r>
    </w:p>
    <w:p>
      <w:pPr>
        <w:ind w:firstLine="60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（五）国务院、省、市为扩大内需、促进就业、服务民生而需要政策扶持且符合申请条件的，在有间距限制的区域间距可放宽20%；有人口数量限制的区域可增设1个零售点。仅限办理一个烟草制品零售许可证。</w:t>
      </w:r>
    </w:p>
    <w:p>
      <w:pPr>
        <w:numPr>
          <w:ilvl w:val="0"/>
          <w:numId w:val="0"/>
        </w:numPr>
        <w:ind w:firstLine="640"/>
        <w:rPr>
          <w:rFonts w:hint="default"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第十二条</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宋体"/>
          <w:bCs/>
          <w:color w:val="000000" w:themeColor="text1"/>
          <w:sz w:val="30"/>
          <w:szCs w:val="30"/>
          <w:lang w:val="en-US" w:eastAsia="zh-CN"/>
          <w14:textFill>
            <w14:solidFill>
              <w14:schemeClr w14:val="tx1"/>
            </w14:solidFill>
          </w14:textFill>
        </w:rPr>
        <w:t>中小学校、幼儿园周边禁止区域外沿向外继续延伸100米的范围内，实行“数量限制、不再新增”的方式布局，限制数量以当年有效持证户数量为基准设置。</w:t>
      </w:r>
    </w:p>
    <w:p>
      <w:pPr>
        <w:ind w:firstLine="643"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第十三条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具有下列情形之一的，不予设置零售点：</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（一）申请主体资格方面</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1</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申请人为未成年人、限制民事行为能力人及无民事行为能力人</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2</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取消从事烟草专卖业务资格不满三年的；</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3</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申请人隐瞒有关情况或者提供虚假材料；或因隐瞒有关情况或者提供虚假材料，烟草专卖局作出不予受理或者不予发证决定后，一年内再次提出申请的；</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4</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申请人以欺骗、贿赂等不正当手段取得的烟草专卖许可证被撤销后，申请人三年内再次提出申请的；</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5</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未领取烟草专卖零售许可证经营烟草专卖品业务，并且一年内被执法机关处罚两次以上，在三年内申请领取烟草专卖零售许可证的；</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6.未领取烟草专卖零售许可证经营烟草专卖品业务被追究刑事责任，在三年内申请领取烟草专卖零售许可证的；</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7.</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被列入</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烟草行业专卖管理系统证件管理“黑名单”或列入</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各级人民政府社会公共信用信息平台</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违法失信</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人员名单”</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的；</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8.</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外商投资的商业企业（包括中外合资企业、中外合作企业、外商独资企业、港澳台地区投资企业等）或者个体工商户</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，及其以特许、吸纳加盟店及其他再投资形式变相从事烟草专卖品经营业务的</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9.</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本款规定第2项至第</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8</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项</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的</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申请人，包含其共同经营人</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、合伙经营人</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（二）经营场所方面</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1</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基于安全因素不适宜经营卷烟的：</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（1）经营场所与容易造成卷烟污染的商品混合经营的，</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包括但不限于</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水产调料店、</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果蔬店、粮油店、土特产店、散称酒类店、五金水暖店、干果炒货店、</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化妆品店、化肥农药店、理发美容</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按摩</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店、渔具店、</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供水站、</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干洗店、洗涤护理类产品店、熟食肉食及面条加工销售店、餐饮烧烤小吃店、</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冷饮奶制品专营店、</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洗车</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装潢</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店、花卉经营店</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、劳保用品店</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等经营场所</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相对独立且能够避免污染的除外</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（2）经营场所不符合消防、控烟管理规定和管控措施，不适宜经营卷烟的场所</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，包括但不限于</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图书馆、网吧、</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酒吧、</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博物展览场馆、文化馆、影剧院、体育场、家纺店、彩票店、</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玩具店、健身房、游泳馆、棋牌馆、</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书店、</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婚纱影楼、</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广告设计店、通讯器材店、</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消防器材店、物流快递站（点）、废品回收站（点）、家装</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家具店、</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电子产品店、</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服装鞋帽店、祭祀用品店、母婴儿童用品店、照相馆、洗浴会所、医药及医疗器械、文化音像用品经营门店等</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（3）经营场所不具备安全保障措施，生产、销售、存储、运输危险品、有毒有害、易挥发及易燃易爆物品，不符合食品安全标准的</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，包括但不限于</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经营五金、烟花爆竹、化工、油漆、建材项目的场所</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（4）其他因经营场所存在安全隐患，不具备安全措施保障的区域。</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2.基于经营场所固定性、独立性因素不适宜办理的：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1）非固定经营场所，包括但不限于书报亭、电话亭、流动摊点（车、棚）、简易搭盖、违章建筑、临时建筑或城市规划内待拆迁建筑等。经相关行政主管部门批准设置的书报亭、扶贫专柜及其他固定设施在有效存续期内的除外；</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2）经营场所不与住所相互独立、无法明确划分、明显不具备对外经营烟草制品的基本设施和条件的，包括但不限于办公楼内、住宅小区单元楼宇内，住所的客厅、餐厅、卧室、阳台、楼梯间、地下室、储藏室、车库、车位等，建筑底层用于对外经营性的商铺除外；</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3.同一经营地址已申领烟草专卖零售许可证且许可证在有效期内的；</w:t>
      </w:r>
    </w:p>
    <w:p>
      <w:pPr>
        <w:ind w:firstLine="600" w:firstLineChars="2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4.经营场所因政府规划待拆或征用，使用期限不足一年的。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（三）经营模式方面</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1.利用自动售货机（柜）、无人售卖店或其他自动设备销售烟草制品的；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2.利用信息网络渠道销售烟草制品的；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3.利用游戏、博彩设备或游戏、博彩等方式变相销售烟草制品的。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（四）特殊区域</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1.南郑辖区内所有中小学校、幼儿园内部及进出口通道150米（含）范围内；</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2.以未成年人为主要对象，密切接触未成年人的公共场所、营业场所，如青少年活动中心、未成年人培训机构等未成年人聚集场所，任一进出口通道50米（含）范围内；</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3.医疗卫生机构内部；</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4.经营场所位于国家机关、党政机关内部；</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5.政府及相关部门禁止经营卷烟类商品和已被政府纳入拆迁、征用规划的区域。</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（五）其他方面</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法律、法规、规章规定的其他不予设置零售点的其他区域。</w:t>
      </w:r>
    </w:p>
    <w:p>
      <w:pPr>
        <w:ind w:firstLine="643"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第十四条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有下列情形之一的，所持烟草专卖零售许可证有效期届满后不予延续：</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（一）经营场所基于安全因素不适宜经营卷烟的；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（二）经营场所位于中小学、幼儿园周围的；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（三）经营主体发生变化的；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（四）不再具备固定经营场所的；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（五）经营场所不再与住所相独立的；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（六）经营场所条件发生变化导致其既不符合取得许可证时也不符合申请延续时的零售点合理布局规定要求的；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（七）非法生产经营烟草专卖品数额在5万元以上、违法所得数额在2万元以上或非法经营卷烟20万支以上，未被追究刑事责任的；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（八）因非法生产经营烟草专卖品被追究刑事责任的；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（九）买卖、出租、出借或者以其他形式非法转让烟草专卖许可证的；</w:t>
      </w:r>
    </w:p>
    <w:p>
      <w:pPr>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 xml:space="preserve">（十）被市场监管部门吊销营业执照的； </w:t>
      </w:r>
    </w:p>
    <w:p>
      <w:pPr>
        <w:ind w:firstLine="600" w:firstLineChars="2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（十一）其他严重违法行为。</w:t>
      </w:r>
    </w:p>
    <w:p>
      <w:pPr>
        <w:spacing w:line="540" w:lineRule="exact"/>
        <w:ind w:firstLine="643"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第十五条</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持证人办理延续申请，除经营场所的安全要求和中小学、幼儿园周围的限制规定外，不受所在地烟草制品零售点合理布局规划其他规划调整的影响。</w:t>
      </w:r>
    </w:p>
    <w:p>
      <w:pPr>
        <w:spacing w:line="540" w:lineRule="exact"/>
        <w:ind w:firstLine="723" w:firstLineChars="200"/>
        <w:jc w:val="center"/>
        <w:rPr>
          <w:rFonts w:hint="eastAsia" w:ascii="仿宋" w:hAnsi="仿宋" w:eastAsia="仿宋" w:cs="Arial"/>
          <w:b/>
          <w:color w:val="000000" w:themeColor="text1"/>
          <w:kern w:val="2"/>
          <w:sz w:val="36"/>
          <w:szCs w:val="36"/>
          <w:lang w:val="en-US" w:eastAsia="zh-CN" w:bidi="ar-SA"/>
          <w14:textFill>
            <w14:solidFill>
              <w14:schemeClr w14:val="tx1"/>
            </w14:solidFill>
          </w14:textFill>
        </w:rPr>
      </w:pPr>
    </w:p>
    <w:p>
      <w:pPr>
        <w:numPr>
          <w:ilvl w:val="0"/>
          <w:numId w:val="1"/>
        </w:numPr>
        <w:spacing w:line="540" w:lineRule="exact"/>
        <w:ind w:firstLine="723" w:firstLineChars="200"/>
        <w:jc w:val="center"/>
        <w:rPr>
          <w:rFonts w:hint="eastAsia" w:ascii="仿宋" w:hAnsi="仿宋" w:eastAsia="仿宋" w:cs="Arial"/>
          <w:b/>
          <w:color w:val="000000" w:themeColor="text1"/>
          <w:kern w:val="2"/>
          <w:sz w:val="36"/>
          <w:szCs w:val="36"/>
          <w:lang w:val="en-US" w:eastAsia="zh-CN" w:bidi="ar-SA"/>
          <w14:textFill>
            <w14:solidFill>
              <w14:schemeClr w14:val="tx1"/>
            </w14:solidFill>
          </w14:textFill>
        </w:rPr>
      </w:pPr>
      <w:r>
        <w:rPr>
          <w:rFonts w:hint="eastAsia" w:ascii="仿宋" w:hAnsi="仿宋" w:eastAsia="仿宋" w:cs="Arial"/>
          <w:b/>
          <w:color w:val="000000" w:themeColor="text1"/>
          <w:kern w:val="2"/>
          <w:sz w:val="36"/>
          <w:szCs w:val="36"/>
          <w:lang w:val="en-US" w:eastAsia="zh-CN" w:bidi="ar-SA"/>
          <w14:textFill>
            <w14:solidFill>
              <w14:schemeClr w14:val="tx1"/>
            </w14:solidFill>
          </w14:textFill>
        </w:rPr>
        <w:t>附 则</w:t>
      </w:r>
    </w:p>
    <w:p>
      <w:pPr>
        <w:spacing w:line="540" w:lineRule="exact"/>
        <w:ind w:firstLine="643"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第十六条</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本《规划》所称与住所相独立的固定经营场所是指经营烟草制品的地方不可移动且为合法拥有、使用，不能是违章、临时、非法的建筑和流动摊点，且有独立的大门进出，直接用于经营业务的场所，进出线路应能避开住所区域。</w:t>
      </w:r>
    </w:p>
    <w:p>
      <w:pPr>
        <w:spacing w:line="540" w:lineRule="exact"/>
        <w:ind w:firstLine="600"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同一空间内，与经营场所相进行了物理分割的货物仓库，商品储藏室、办公室、财务室、会客室、休息室、卫生间等场所均视为经营场所的附属仓库，有义务接受烟草专卖行政主管部门的监督检查。</w:t>
      </w:r>
    </w:p>
    <w:p>
      <w:pPr>
        <w:numPr>
          <w:ilvl w:val="0"/>
          <w:numId w:val="0"/>
        </w:numPr>
        <w:spacing w:line="540" w:lineRule="exact"/>
        <w:ind w:firstLine="640"/>
        <w:rPr>
          <w:rFonts w:hint="default" w:ascii="仿宋" w:hAnsi="仿宋" w:eastAsia="仿宋" w:cs="Arial"/>
          <w:color w:val="000000" w:themeColor="text1"/>
          <w:sz w:val="30"/>
          <w:szCs w:val="30"/>
          <w:lang w:val="en-US" w:eastAsia="zh-CN"/>
          <w14:textFill>
            <w14:solidFill>
              <w14:schemeClr w14:val="tx1"/>
            </w14:solidFill>
          </w14:textFill>
        </w:rPr>
      </w:pPr>
      <w:r>
        <w:rPr>
          <w:rFonts w:hint="eastAsia" w:ascii="仿宋" w:hAnsi="仿宋" w:eastAsia="仿宋" w:cs="Arial"/>
          <w:b/>
          <w:bCs/>
          <w:color w:val="000000" w:themeColor="text1"/>
          <w:sz w:val="30"/>
          <w:szCs w:val="30"/>
          <w:lang w:val="en-US" w:eastAsia="zh-CN"/>
          <w14:textFill>
            <w14:solidFill>
              <w14:schemeClr w14:val="tx1"/>
            </w14:solidFill>
          </w14:textFill>
        </w:rPr>
        <w:t>第十七条</w:t>
      </w:r>
      <w:r>
        <w:rPr>
          <w:rFonts w:hint="eastAsia" w:ascii="仿宋" w:hAnsi="仿宋" w:eastAsia="仿宋" w:cs="Arial"/>
          <w:color w:val="000000" w:themeColor="text1"/>
          <w:sz w:val="30"/>
          <w:szCs w:val="30"/>
          <w:lang w:val="en-US" w:eastAsia="zh-CN"/>
          <w14:textFill>
            <w14:solidFill>
              <w14:schemeClr w14:val="tx1"/>
            </w14:solidFill>
          </w14:textFill>
        </w:rPr>
        <w:t xml:space="preserve">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本《规划》所称背街小巷是指政府未命名仅供居民方便出行的街道。</w:t>
      </w:r>
    </w:p>
    <w:p>
      <w:pPr>
        <w:numPr>
          <w:ilvl w:val="0"/>
          <w:numId w:val="0"/>
        </w:numPr>
        <w:spacing w:line="540" w:lineRule="exact"/>
        <w:ind w:firstLine="602"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Arial"/>
          <w:b/>
          <w:bCs/>
          <w:color w:val="000000" w:themeColor="text1"/>
          <w:kern w:val="0"/>
          <w:sz w:val="30"/>
          <w:szCs w:val="30"/>
          <w:lang w:val="en-US" w:eastAsia="zh-CN" w:bidi="ar-SA"/>
          <w14:textFill>
            <w14:solidFill>
              <w14:schemeClr w14:val="tx1"/>
            </w14:solidFill>
          </w14:textFill>
        </w:rPr>
        <w:t>第十八条</w:t>
      </w:r>
      <w:r>
        <w:rPr>
          <w:rFonts w:hint="eastAsia" w:ascii="仿宋" w:hAnsi="仿宋" w:eastAsia="仿宋" w:cs="Arial"/>
          <w:color w:val="000000" w:themeColor="text1"/>
          <w:kern w:val="0"/>
          <w:sz w:val="30"/>
          <w:szCs w:val="30"/>
          <w:lang w:val="en-US" w:eastAsia="zh-CN" w:bidi="ar-SA"/>
          <w14:textFill>
            <w14:solidFill>
              <w14:schemeClr w14:val="tx1"/>
            </w14:solidFill>
          </w14:textFill>
        </w:rPr>
        <w:t xml:space="preserve">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本《规划》所称的零售点间距是指申请者拟从事烟草制品零售业务的经营场所门店中央与最近的烟草制品零售点门店中央之间的直线距离。</w:t>
      </w:r>
    </w:p>
    <w:p>
      <w:pPr>
        <w:pStyle w:val="7"/>
        <w:shd w:val="clear" w:color="auto" w:fill="FFFFFF"/>
        <w:spacing w:before="0" w:beforeAutospacing="0" w:after="0" w:afterAutospacing="0" w:line="540" w:lineRule="exact"/>
        <w:ind w:firstLine="635"/>
        <w:jc w:val="both"/>
        <w:rPr>
          <w:rFonts w:hint="eastAsia" w:ascii="仿宋" w:hAnsi="仿宋" w:eastAsia="仿宋" w:cs="Arial"/>
          <w:color w:val="000000" w:themeColor="text1"/>
          <w:sz w:val="30"/>
          <w:szCs w:val="30"/>
          <w:lang w:val="en-US" w:eastAsia="zh-CN"/>
          <w14:textFill>
            <w14:solidFill>
              <w14:schemeClr w14:val="tx1"/>
            </w14:solidFill>
          </w14:textFill>
        </w:rPr>
      </w:pPr>
      <w:r>
        <w:rPr>
          <w:rFonts w:hint="eastAsia" w:ascii="仿宋" w:hAnsi="仿宋" w:eastAsia="仿宋" w:cs="Arial"/>
          <w:b/>
          <w:bCs/>
          <w:color w:val="000000" w:themeColor="text1"/>
          <w:kern w:val="0"/>
          <w:sz w:val="30"/>
          <w:szCs w:val="30"/>
          <w:lang w:val="en-US" w:eastAsia="zh-CN"/>
          <w14:textFill>
            <w14:solidFill>
              <w14:schemeClr w14:val="tx1"/>
            </w14:solidFill>
          </w14:textFill>
        </w:rPr>
        <w:t>第十九条</w:t>
      </w:r>
      <w:r>
        <w:rPr>
          <w:rFonts w:hint="eastAsia" w:ascii="仿宋" w:hAnsi="仿宋" w:eastAsia="仿宋" w:cs="Arial"/>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本《规划》所称学校是指以未成年人为教育对象，实施中等教育、初等教育的学校，包括普通中学、小学、特殊教育学校、中等职业学校、专门学校等。</w:t>
      </w:r>
    </w:p>
    <w:p>
      <w:pPr>
        <w:pStyle w:val="7"/>
        <w:shd w:val="clear" w:color="auto" w:fill="FFFFFF"/>
        <w:spacing w:before="0" w:beforeAutospacing="0" w:after="0" w:afterAutospacing="0" w:line="540" w:lineRule="exact"/>
        <w:ind w:firstLine="635"/>
        <w:jc w:val="both"/>
        <w:rPr>
          <w:rFonts w:hint="eastAsia" w:ascii="仿宋" w:hAnsi="仿宋" w:eastAsia="仿宋" w:cs="Arial"/>
          <w:color w:val="000000" w:themeColor="text1"/>
          <w:sz w:val="30"/>
          <w:szCs w:val="30"/>
          <w:lang w:val="en-US" w:eastAsia="zh-CN"/>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幼儿园是指以学龄前儿童为主要对象，取得办学资质且正常开展教学的学前教育机构。</w:t>
      </w:r>
    </w:p>
    <w:p>
      <w:pPr>
        <w:numPr>
          <w:ilvl w:val="0"/>
          <w:numId w:val="0"/>
        </w:numPr>
        <w:spacing w:line="540" w:lineRule="exact"/>
        <w:ind w:firstLine="602" w:firstLineChars="200"/>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Arial"/>
          <w:b/>
          <w:bCs/>
          <w:color w:val="000000" w:themeColor="text1"/>
          <w:kern w:val="0"/>
          <w:sz w:val="30"/>
          <w:szCs w:val="30"/>
          <w:lang w:val="en-US" w:eastAsia="zh-CN" w:bidi="ar-SA"/>
          <w14:textFill>
            <w14:solidFill>
              <w14:schemeClr w14:val="tx1"/>
            </w14:solidFill>
          </w14:textFill>
        </w:rPr>
        <w:t xml:space="preserve">第二十条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中小学校、幼儿园的测量起始点为出入行人通道门中间点，有多个出入通道门的，选择距离零售点最近的出入通道门作为圆心，以限制距离为半径向外覆盖的全部区域。不包括不能正常通行的教职工通道、后勤通道、消防通道、垃圾通道、货运通道、长年关闭的门等。</w:t>
      </w:r>
    </w:p>
    <w:p>
      <w:pPr>
        <w:numPr>
          <w:ilvl w:val="0"/>
          <w:numId w:val="0"/>
        </w:numPr>
        <w:spacing w:line="540" w:lineRule="exact"/>
        <w:ind w:firstLine="600"/>
        <w:rPr>
          <w:rFonts w:hint="default" w:ascii="仿宋" w:hAnsi="仿宋" w:eastAsia="仿宋" w:cs="Arial"/>
          <w:color w:val="000000" w:themeColor="text1"/>
          <w:kern w:val="0"/>
          <w:sz w:val="30"/>
          <w:szCs w:val="30"/>
          <w:lang w:val="en-US" w:eastAsia="zh-CN"/>
          <w14:textFill>
            <w14:solidFill>
              <w14:schemeClr w14:val="tx1"/>
            </w14:solidFill>
          </w14:textFill>
        </w:rPr>
      </w:pPr>
      <w:r>
        <w:rPr>
          <w:rFonts w:hint="eastAsia" w:ascii="仿宋" w:hAnsi="仿宋" w:eastAsia="仿宋" w:cs="Arial"/>
          <w:b/>
          <w:bCs/>
          <w:color w:val="000000" w:themeColor="text1"/>
          <w:kern w:val="0"/>
          <w:sz w:val="30"/>
          <w:szCs w:val="30"/>
          <w:lang w:val="en-US" w:eastAsia="zh-CN"/>
          <w14:textFill>
            <w14:solidFill>
              <w14:schemeClr w14:val="tx1"/>
            </w14:solidFill>
          </w14:textFill>
        </w:rPr>
        <w:t>第二十一条</w:t>
      </w:r>
      <w:r>
        <w:rPr>
          <w:rFonts w:hint="eastAsia" w:ascii="仿宋" w:hAnsi="仿宋" w:eastAsia="仿宋" w:cs="Arial"/>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申请点位于十字路口，与零售点所在区域执行的间距标准不同时，应当以按照最小的间距标准执行。</w:t>
      </w:r>
    </w:p>
    <w:p>
      <w:pPr>
        <w:numPr>
          <w:ilvl w:val="0"/>
          <w:numId w:val="0"/>
        </w:numPr>
        <w:spacing w:line="540" w:lineRule="exact"/>
        <w:ind w:firstLine="6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Arial"/>
          <w:b/>
          <w:bCs/>
          <w:color w:val="000000" w:themeColor="text1"/>
          <w:kern w:val="0"/>
          <w:sz w:val="30"/>
          <w:szCs w:val="30"/>
          <w:lang w:val="en-US" w:eastAsia="zh-CN"/>
          <w14:textFill>
            <w14:solidFill>
              <w14:schemeClr w14:val="tx1"/>
            </w14:solidFill>
          </w14:textFill>
        </w:rPr>
        <w:t>第二十二条</w:t>
      </w:r>
      <w:r>
        <w:rPr>
          <w:rFonts w:hint="eastAsia" w:ascii="仿宋" w:hAnsi="仿宋" w:eastAsia="仿宋" w:cs="Arial"/>
          <w:color w:val="000000" w:themeColor="text1"/>
          <w:kern w:val="0"/>
          <w:sz w:val="30"/>
          <w:szCs w:val="30"/>
          <w:lang w:val="en-US" w:eastAsia="zh-CN"/>
          <w14:textFill>
            <w14:solidFill>
              <w14:schemeClr w14:val="tx1"/>
            </w14:solidFill>
          </w14:textFill>
        </w:rPr>
        <w:t xml:space="preserve"> </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本《规划》实施前，已取得烟草专卖零售许可证的零售点，不符合本办法的，按下列规定分类处理：</w:t>
      </w:r>
    </w:p>
    <w:p>
      <w:pPr>
        <w:numPr>
          <w:ilvl w:val="0"/>
          <w:numId w:val="0"/>
        </w:numPr>
        <w:spacing w:line="540" w:lineRule="exact"/>
        <w:ind w:firstLine="6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（一）不符合第</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八</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条规定，分布过密的区域，在尊重现状的原则下，通过公平竞争、自然淘汰、依法注销等综合调控手段，逐步优化；</w:t>
      </w:r>
    </w:p>
    <w:p>
      <w:pPr>
        <w:numPr>
          <w:ilvl w:val="0"/>
          <w:numId w:val="0"/>
        </w:numPr>
        <w:spacing w:line="540" w:lineRule="exact"/>
        <w:ind w:firstLine="6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宋体"/>
          <w:bCs/>
          <w:color w:val="000000" w:themeColor="text1"/>
          <w:kern w:val="2"/>
          <w:sz w:val="30"/>
          <w:szCs w:val="30"/>
          <w:lang w:val="en-US" w:eastAsia="zh-CN" w:bidi="ar-SA"/>
          <w14:textFill>
            <w14:solidFill>
              <w14:schemeClr w14:val="tx1"/>
            </w14:solidFill>
          </w14:textFill>
        </w:rPr>
        <w:t>（二）属于第</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十三</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条不予设置零售点，又未达到依法撤回、撤销原许可证的，其许可证有效期满后不再予以延续。</w:t>
      </w:r>
    </w:p>
    <w:p>
      <w:pPr>
        <w:numPr>
          <w:ilvl w:val="0"/>
          <w:numId w:val="0"/>
        </w:numPr>
        <w:spacing w:line="540" w:lineRule="exact"/>
        <w:ind w:firstLine="6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Arial"/>
          <w:b/>
          <w:bCs/>
          <w:color w:val="000000" w:themeColor="text1"/>
          <w:kern w:val="0"/>
          <w:sz w:val="30"/>
          <w:szCs w:val="30"/>
          <w:lang w:val="en-US" w:eastAsia="zh-CN"/>
          <w14:textFill>
            <w14:solidFill>
              <w14:schemeClr w14:val="tx1"/>
            </w14:solidFill>
          </w14:textFill>
        </w:rPr>
        <w:t>第</w:t>
      </w:r>
      <w:r>
        <w:rPr>
          <w:rFonts w:hint="eastAsia" w:ascii="仿宋" w:hAnsi="仿宋" w:eastAsia="仿宋" w:cs="Arial"/>
          <w:b/>
          <w:bCs/>
          <w:color w:val="000000" w:themeColor="text1"/>
          <w:kern w:val="0"/>
          <w:sz w:val="30"/>
          <w:szCs w:val="30"/>
          <w:lang w:val="en-US" w:eastAsia="zh-CN"/>
          <w14:textFill>
            <w14:solidFill>
              <w14:schemeClr w14:val="tx1"/>
            </w14:solidFill>
          </w14:textFill>
        </w:rPr>
        <w:t>二十三</w:t>
      </w:r>
      <w:r>
        <w:rPr>
          <w:rFonts w:hint="default" w:ascii="仿宋" w:hAnsi="仿宋" w:eastAsia="仿宋" w:cs="Arial"/>
          <w:b/>
          <w:bCs/>
          <w:color w:val="000000" w:themeColor="text1"/>
          <w:kern w:val="0"/>
          <w:sz w:val="30"/>
          <w:szCs w:val="30"/>
          <w:lang w:val="en-US" w:eastAsia="zh-CN"/>
          <w14:textFill>
            <w14:solidFill>
              <w14:schemeClr w14:val="tx1"/>
            </w14:solidFill>
          </w14:textFill>
        </w:rPr>
        <w:t>条</w:t>
      </w:r>
      <w:r>
        <w:rPr>
          <w:rFonts w:hint="eastAsia" w:ascii="仿宋" w:hAnsi="仿宋" w:eastAsia="仿宋" w:cs="Arial"/>
          <w:b/>
          <w:bCs/>
          <w:color w:val="000000" w:themeColor="text1"/>
          <w:kern w:val="0"/>
          <w:sz w:val="30"/>
          <w:szCs w:val="30"/>
          <w:lang w:val="en-US" w:eastAsia="zh-CN"/>
          <w14:textFill>
            <w14:solidFill>
              <w14:schemeClr w14:val="tx1"/>
            </w14:solidFill>
          </w14:textFill>
        </w:rPr>
        <w:t xml:space="preserve"> </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电子烟零售点</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由陕西省烟草专卖局</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根据人口数量、经济发展水平、消费群体、消费行为习惯等因素</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合理设置</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，并视市场需求、市场状态变化情况进行动态调整（具体指导数量以省局下发的数量标准为准）</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，本《规划》不涉及电子烟零售点合理布局</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w:t>
      </w:r>
    </w:p>
    <w:p>
      <w:pPr>
        <w:numPr>
          <w:ilvl w:val="0"/>
          <w:numId w:val="0"/>
        </w:numPr>
        <w:spacing w:line="540" w:lineRule="exact"/>
        <w:ind w:firstLine="6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Arial"/>
          <w:b/>
          <w:bCs/>
          <w:color w:val="000000" w:themeColor="text1"/>
          <w:kern w:val="0"/>
          <w:sz w:val="30"/>
          <w:szCs w:val="30"/>
          <w:lang w:val="en-US" w:eastAsia="zh-CN"/>
          <w14:textFill>
            <w14:solidFill>
              <w14:schemeClr w14:val="tx1"/>
            </w14:solidFill>
          </w14:textFill>
        </w:rPr>
        <w:t>第</w:t>
      </w:r>
      <w:r>
        <w:rPr>
          <w:rFonts w:hint="eastAsia" w:ascii="仿宋" w:hAnsi="仿宋" w:eastAsia="仿宋" w:cs="Arial"/>
          <w:b/>
          <w:bCs/>
          <w:color w:val="000000" w:themeColor="text1"/>
          <w:kern w:val="0"/>
          <w:sz w:val="30"/>
          <w:szCs w:val="30"/>
          <w:lang w:val="en-US" w:eastAsia="zh-CN"/>
          <w14:textFill>
            <w14:solidFill>
              <w14:schemeClr w14:val="tx1"/>
            </w14:solidFill>
          </w14:textFill>
        </w:rPr>
        <w:t>二十四</w:t>
      </w:r>
      <w:r>
        <w:rPr>
          <w:rFonts w:hint="default" w:ascii="仿宋" w:hAnsi="仿宋" w:eastAsia="仿宋" w:cs="Arial"/>
          <w:b/>
          <w:bCs/>
          <w:color w:val="000000" w:themeColor="text1"/>
          <w:kern w:val="0"/>
          <w:sz w:val="30"/>
          <w:szCs w:val="30"/>
          <w:lang w:val="en-US" w:eastAsia="zh-CN"/>
          <w14:textFill>
            <w14:solidFill>
              <w14:schemeClr w14:val="tx1"/>
            </w14:solidFill>
          </w14:textFill>
        </w:rPr>
        <w:t>条</w:t>
      </w:r>
      <w:r>
        <w:rPr>
          <w:rFonts w:hint="default" w:ascii="仿宋" w:hAnsi="仿宋" w:eastAsia="仿宋" w:cs="Arial"/>
          <w:color w:val="000000" w:themeColor="text1"/>
          <w:kern w:val="0"/>
          <w:sz w:val="30"/>
          <w:szCs w:val="30"/>
          <w:lang w:val="en-US" w:eastAsia="zh-CN"/>
          <w14:textFill>
            <w14:solidFill>
              <w14:schemeClr w14:val="tx1"/>
            </w14:solidFill>
          </w14:textFill>
        </w:rPr>
        <w:t xml:space="preserve"> </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本《规划》由</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汉中市</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南郑区烟草专卖局负责解释。</w:t>
      </w:r>
    </w:p>
    <w:p>
      <w:pPr>
        <w:numPr>
          <w:ilvl w:val="0"/>
          <w:numId w:val="0"/>
        </w:numPr>
        <w:spacing w:line="540" w:lineRule="exact"/>
        <w:ind w:firstLine="6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Arial"/>
          <w:b/>
          <w:bCs/>
          <w:color w:val="000000" w:themeColor="text1"/>
          <w:kern w:val="0"/>
          <w:sz w:val="30"/>
          <w:szCs w:val="30"/>
          <w:lang w:val="en-US" w:eastAsia="zh-CN"/>
          <w14:textFill>
            <w14:solidFill>
              <w14:schemeClr w14:val="tx1"/>
            </w14:solidFill>
          </w14:textFill>
        </w:rPr>
        <w:t>第</w:t>
      </w:r>
      <w:r>
        <w:rPr>
          <w:rFonts w:hint="eastAsia" w:ascii="仿宋" w:hAnsi="仿宋" w:eastAsia="仿宋" w:cs="Arial"/>
          <w:b/>
          <w:bCs/>
          <w:color w:val="000000" w:themeColor="text1"/>
          <w:kern w:val="0"/>
          <w:sz w:val="30"/>
          <w:szCs w:val="30"/>
          <w:lang w:val="en-US" w:eastAsia="zh-CN"/>
          <w14:textFill>
            <w14:solidFill>
              <w14:schemeClr w14:val="tx1"/>
            </w14:solidFill>
          </w14:textFill>
        </w:rPr>
        <w:t>二十五</w:t>
      </w:r>
      <w:r>
        <w:rPr>
          <w:rFonts w:hint="default" w:ascii="仿宋" w:hAnsi="仿宋" w:eastAsia="仿宋" w:cs="Arial"/>
          <w:b/>
          <w:bCs/>
          <w:color w:val="000000" w:themeColor="text1"/>
          <w:kern w:val="0"/>
          <w:sz w:val="30"/>
          <w:szCs w:val="30"/>
          <w:lang w:val="en-US" w:eastAsia="zh-CN"/>
          <w14:textFill>
            <w14:solidFill>
              <w14:schemeClr w14:val="tx1"/>
            </w14:solidFill>
          </w14:textFill>
        </w:rPr>
        <w:t>条</w:t>
      </w:r>
      <w:r>
        <w:rPr>
          <w:rFonts w:hint="default" w:ascii="仿宋" w:hAnsi="仿宋" w:eastAsia="仿宋" w:cs="Arial"/>
          <w:color w:val="000000" w:themeColor="text1"/>
          <w:kern w:val="0"/>
          <w:sz w:val="30"/>
          <w:szCs w:val="30"/>
          <w:lang w:val="en-US" w:eastAsia="zh-CN"/>
          <w14:textFill>
            <w14:solidFill>
              <w14:schemeClr w14:val="tx1"/>
            </w14:solidFill>
          </w14:textFill>
        </w:rPr>
        <w:t xml:space="preserve"> </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本《规划》自公布之日起施行</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，《汉中市南郑区烟草制品零售点合理布局规划》（</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南烟字【2021】82）号</w:t>
      </w:r>
      <w:r>
        <w:rPr>
          <w:rFonts w:hint="eastAsia" w:ascii="仿宋" w:hAnsi="仿宋" w:eastAsia="仿宋" w:cs="宋体"/>
          <w:bCs/>
          <w:color w:val="000000" w:themeColor="text1"/>
          <w:kern w:val="2"/>
          <w:sz w:val="30"/>
          <w:szCs w:val="30"/>
          <w:lang w:val="en-US" w:eastAsia="zh-CN" w:bidi="ar-SA"/>
          <w14:textFill>
            <w14:solidFill>
              <w14:schemeClr w14:val="tx1"/>
            </w14:solidFill>
          </w14:textFill>
        </w:rPr>
        <w:t>同时废止</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w:t>
      </w:r>
    </w:p>
    <w:p>
      <w:pPr>
        <w:numPr>
          <w:ilvl w:val="0"/>
          <w:numId w:val="0"/>
        </w:numPr>
        <w:spacing w:line="540" w:lineRule="exact"/>
        <w:ind w:firstLine="6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default" w:ascii="仿宋" w:hAnsi="仿宋" w:eastAsia="仿宋" w:cs="Arial"/>
          <w:b/>
          <w:bCs/>
          <w:color w:val="000000" w:themeColor="text1"/>
          <w:kern w:val="0"/>
          <w:sz w:val="30"/>
          <w:szCs w:val="30"/>
          <w:lang w:val="en-US" w:eastAsia="zh-CN"/>
          <w14:textFill>
            <w14:solidFill>
              <w14:schemeClr w14:val="tx1"/>
            </w14:solidFill>
          </w14:textFill>
        </w:rPr>
        <w:t>第</w:t>
      </w:r>
      <w:r>
        <w:rPr>
          <w:rFonts w:hint="eastAsia" w:ascii="仿宋" w:hAnsi="仿宋" w:eastAsia="仿宋" w:cs="Arial"/>
          <w:b/>
          <w:bCs/>
          <w:color w:val="000000" w:themeColor="text1"/>
          <w:kern w:val="0"/>
          <w:sz w:val="30"/>
          <w:szCs w:val="30"/>
          <w:lang w:val="en-US" w:eastAsia="zh-CN"/>
          <w14:textFill>
            <w14:solidFill>
              <w14:schemeClr w14:val="tx1"/>
            </w14:solidFill>
          </w14:textFill>
        </w:rPr>
        <w:t>二十六</w:t>
      </w:r>
      <w:r>
        <w:rPr>
          <w:rFonts w:hint="default" w:ascii="仿宋" w:hAnsi="仿宋" w:eastAsia="仿宋" w:cs="Arial"/>
          <w:b/>
          <w:bCs/>
          <w:color w:val="000000" w:themeColor="text1"/>
          <w:kern w:val="0"/>
          <w:sz w:val="30"/>
          <w:szCs w:val="30"/>
          <w:lang w:val="en-US" w:eastAsia="zh-CN"/>
          <w14:textFill>
            <w14:solidFill>
              <w14:schemeClr w14:val="tx1"/>
            </w14:solidFill>
          </w14:textFill>
        </w:rPr>
        <w:t>条</w:t>
      </w:r>
      <w:r>
        <w:rPr>
          <w:rFonts w:hint="default" w:ascii="仿宋" w:hAnsi="仿宋" w:eastAsia="仿宋" w:cs="Arial"/>
          <w:color w:val="000000" w:themeColor="text1"/>
          <w:kern w:val="0"/>
          <w:sz w:val="30"/>
          <w:szCs w:val="30"/>
          <w:lang w:val="en-US" w:eastAsia="zh-CN"/>
          <w14:textFill>
            <w14:solidFill>
              <w14:schemeClr w14:val="tx1"/>
            </w14:solidFill>
          </w14:textFill>
        </w:rPr>
        <w:t xml:space="preserve"> </w:t>
      </w:r>
      <w:r>
        <w:rPr>
          <w:rFonts w:hint="default" w:ascii="仿宋" w:hAnsi="仿宋" w:eastAsia="仿宋" w:cs="宋体"/>
          <w:bCs/>
          <w:color w:val="000000" w:themeColor="text1"/>
          <w:kern w:val="2"/>
          <w:sz w:val="30"/>
          <w:szCs w:val="30"/>
          <w:lang w:val="en-US" w:eastAsia="zh-CN" w:bidi="ar-SA"/>
          <w14:textFill>
            <w14:solidFill>
              <w14:schemeClr w14:val="tx1"/>
            </w14:solidFill>
          </w14:textFill>
        </w:rPr>
        <w:t>本《规划》印发后，若与法规及新的政策规定不一致的，以法规和新的政策规定为准。</w:t>
      </w:r>
    </w:p>
    <w:p>
      <w:pPr>
        <w:numPr>
          <w:ilvl w:val="0"/>
          <w:numId w:val="0"/>
        </w:numPr>
        <w:spacing w:line="540" w:lineRule="exact"/>
        <w:ind w:firstLine="600"/>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附件1:</w:t>
      </w:r>
    </w:p>
    <w:p>
      <w:pPr>
        <w:numPr>
          <w:ilvl w:val="0"/>
          <w:numId w:val="0"/>
        </w:numPr>
        <w:spacing w:line="540" w:lineRule="exact"/>
        <w:ind w:firstLine="600"/>
        <w:jc w:val="center"/>
        <w:rPr>
          <w:rFonts w:hint="default"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汉中市南郑区主城区</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9"/>
        <w:gridCol w:w="1119"/>
        <w:gridCol w:w="1319"/>
        <w:gridCol w:w="4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区域类型</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规划方式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街道名称</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街道起止范围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主城区（主要街道）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天汉大道</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二号桥以南——张家村十字以北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梁山路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金宏酒店以南——艺苑路以北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艺苑路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中国银行以东——汉桂路十字以西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渔营路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金宏酒店以东——汉桂路以西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汉桂路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烟厂公主花园以南——南郑大道以北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江南西路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荣嘉酒店以西——银钩桥小区以东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东大街</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南郑大道东大街交叉口—好又多十字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西大街</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好又多十字——舒军食杂店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青年路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张翠萍食杂店——何利食杂店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北大街</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好又多十字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白彦平食杂店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南大街</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好又多十字——南大街南郑大道十字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汉山路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汉山路幸福路十字—汉山路北大街十字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南湖路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南湖路北大街十字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南湖路水井巷十字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人民路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人民路北一路十字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人民路南一路十字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幸福路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幸福路北一路十字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幸福路南郑大道十字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自强路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自强路汉山路十字——自强路东大街十字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北一路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政府现命名让水大道（城北小学十字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北一路云河路十字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南一路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南郑大道东大街交叉口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南郑大道青年路交叉口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主城区（次要街道、一般街道）</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规划方式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街道名称</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街道起止范围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南郑大道</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智慧城以西——汉山路以东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海会路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油坊街便民夜市以东——金典酒店以西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利民东路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渔营路以西——梁山路以东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利民中路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梁山路以西——天汉大道以东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南海路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红军路以东——圣水路以西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江古路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海会路以南——南郑大道以北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民乐园东侧道路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西大街青年路十字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该道路与南郑大道十字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云河路</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幸福路以北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汉山大道</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南郑交警大队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汉山广场标志门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科技巷</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南湖路水井巷三岔口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汉山公馆蜗居小镇酒店门口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水井巷</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水井巷南湖路交叉口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水井巷西大街十字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新华巷</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新华巷西大街十字——新华巷南郑大道十字</w:t>
            </w:r>
          </w:p>
        </w:tc>
      </w:tr>
    </w:tbl>
    <w:p>
      <w:pPr>
        <w:numPr>
          <w:ilvl w:val="0"/>
          <w:numId w:val="0"/>
        </w:numPr>
        <w:spacing w:line="540" w:lineRule="exact"/>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附件2:</w:t>
      </w:r>
    </w:p>
    <w:p>
      <w:pPr>
        <w:numPr>
          <w:ilvl w:val="0"/>
          <w:numId w:val="0"/>
        </w:numPr>
        <w:spacing w:line="540" w:lineRule="exact"/>
        <w:jc w:val="center"/>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汉中市南郑区副城区</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3"/>
        <w:gridCol w:w="1133"/>
        <w:gridCol w:w="1380"/>
        <w:gridCol w:w="4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区域类型</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规划方式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街道名称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街道起止范围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副城区</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南郑大道</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三号桥以西——智慧城以东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南郑大道</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汉山路以西——高架桥以东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艺苑路</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汉桂路以东——航天新城以西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汉桂路</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南郑大道以南——汉桂佳苑以北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智慧大街</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金典酒店以南——南郑大道以北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汉山路</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望江酒店——天汉华府江南西路以南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江古路</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江南东路以南——裕华欧洲城以北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江南西路</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银钩桥小区以西——梁山大道以东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惠丰路</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江南西路以南——惠丰南路尽头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秦南路</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汉山路以西——英郦庄园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汉山路</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江南西路以南——南郑大道以北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恒大城</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秦南路以南——南郑大道以北，高速路转盘以西——董家营村口以东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汉山公馆（片区）</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汉山公馆周边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距离模式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让水大道（东段）</w:t>
            </w:r>
          </w:p>
        </w:tc>
        <w:tc>
          <w:tcPr>
            <w:tcW w:w="4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云河路幸福路十字—区公安局新址十字</w:t>
            </w:r>
          </w:p>
        </w:tc>
      </w:tr>
    </w:tbl>
    <w:p>
      <w:pPr>
        <w:numPr>
          <w:ilvl w:val="0"/>
          <w:numId w:val="0"/>
        </w:numPr>
        <w:spacing w:line="540" w:lineRule="exact"/>
        <w:rPr>
          <w:rFonts w:hint="default" w:ascii="仿宋" w:hAnsi="仿宋" w:eastAsia="仿宋" w:cs="宋体"/>
          <w:bCs/>
          <w:color w:val="000000" w:themeColor="text1"/>
          <w:kern w:val="2"/>
          <w:sz w:val="30"/>
          <w:szCs w:val="30"/>
          <w:lang w:val="en-US" w:eastAsia="zh-CN" w:bidi="ar-SA"/>
          <w14:textFill>
            <w14:solidFill>
              <w14:schemeClr w14:val="tx1"/>
            </w14:solidFill>
          </w14:textFill>
        </w:rPr>
      </w:pPr>
    </w:p>
    <w:p>
      <w:pPr>
        <w:numPr>
          <w:ilvl w:val="0"/>
          <w:numId w:val="0"/>
        </w:numPr>
        <w:spacing w:line="540" w:lineRule="exact"/>
        <w:rPr>
          <w:rFonts w:hint="default" w:ascii="仿宋" w:hAnsi="仿宋" w:eastAsia="仿宋" w:cs="宋体"/>
          <w:bCs/>
          <w:color w:val="000000" w:themeColor="text1"/>
          <w:kern w:val="2"/>
          <w:sz w:val="30"/>
          <w:szCs w:val="30"/>
          <w:lang w:val="en-US" w:eastAsia="zh-CN" w:bidi="ar-SA"/>
          <w14:textFill>
            <w14:solidFill>
              <w14:schemeClr w14:val="tx1"/>
            </w14:solidFill>
          </w14:textFill>
        </w:rPr>
      </w:pPr>
    </w:p>
    <w:p>
      <w:pPr>
        <w:numPr>
          <w:ilvl w:val="0"/>
          <w:numId w:val="0"/>
        </w:numPr>
        <w:spacing w:line="540" w:lineRule="exact"/>
        <w:ind w:firstLine="600"/>
        <w:jc w:val="center"/>
        <w:rPr>
          <w:rFonts w:hint="eastAsia"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 xml:space="preserve">                        汉中市南郑区烟草专卖局</w:t>
      </w:r>
    </w:p>
    <w:p>
      <w:pPr>
        <w:numPr>
          <w:ilvl w:val="0"/>
          <w:numId w:val="0"/>
        </w:numPr>
        <w:spacing w:line="540" w:lineRule="exact"/>
        <w:ind w:firstLine="600"/>
        <w:rPr>
          <w:rFonts w:hint="default" w:ascii="仿宋" w:hAnsi="仿宋" w:eastAsia="仿宋" w:cs="宋体"/>
          <w:bCs/>
          <w:color w:val="000000" w:themeColor="text1"/>
          <w:kern w:val="2"/>
          <w:sz w:val="30"/>
          <w:szCs w:val="30"/>
          <w:lang w:val="en-US" w:eastAsia="zh-CN" w:bidi="ar-SA"/>
          <w14:textFill>
            <w14:solidFill>
              <w14:schemeClr w14:val="tx1"/>
            </w14:solidFill>
          </w14:textFill>
        </w:rPr>
      </w:pPr>
      <w:r>
        <w:rPr>
          <w:rFonts w:hint="eastAsia" w:ascii="仿宋" w:hAnsi="仿宋" w:eastAsia="仿宋" w:cs="宋体"/>
          <w:bCs/>
          <w:color w:val="000000" w:themeColor="text1"/>
          <w:kern w:val="2"/>
          <w:sz w:val="30"/>
          <w:szCs w:val="30"/>
          <w:lang w:val="en-US" w:eastAsia="zh-CN" w:bidi="ar-SA"/>
          <w14:textFill>
            <w14:solidFill>
              <w14:schemeClr w14:val="tx1"/>
            </w14:solidFill>
          </w14:textFill>
        </w:rPr>
        <w:t xml:space="preserve">                              2023年10月12日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C6663"/>
    <w:multiLevelType w:val="singleLevel"/>
    <w:tmpl w:val="BC7C666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ZDY0NmZhZWJiYmZmMjMxYzYwYThlNjhkOWQzODYifQ=="/>
  </w:docVars>
  <w:rsids>
    <w:rsidRoot w:val="2AA0459A"/>
    <w:rsid w:val="04041965"/>
    <w:rsid w:val="067D0AB4"/>
    <w:rsid w:val="07457B98"/>
    <w:rsid w:val="0A23428F"/>
    <w:rsid w:val="0A7901FD"/>
    <w:rsid w:val="0C3A23F5"/>
    <w:rsid w:val="0DCE1D0B"/>
    <w:rsid w:val="10176FA2"/>
    <w:rsid w:val="10F843FD"/>
    <w:rsid w:val="11DA38D8"/>
    <w:rsid w:val="15F330CE"/>
    <w:rsid w:val="17B5012D"/>
    <w:rsid w:val="183103F7"/>
    <w:rsid w:val="1B156ADC"/>
    <w:rsid w:val="1FE02E2E"/>
    <w:rsid w:val="1FE228FE"/>
    <w:rsid w:val="26E073AF"/>
    <w:rsid w:val="291B433C"/>
    <w:rsid w:val="29EF660A"/>
    <w:rsid w:val="2AA0459A"/>
    <w:rsid w:val="2D0533A2"/>
    <w:rsid w:val="309A4933"/>
    <w:rsid w:val="31760BC9"/>
    <w:rsid w:val="31A7013C"/>
    <w:rsid w:val="32E9317E"/>
    <w:rsid w:val="33FE46AF"/>
    <w:rsid w:val="35A24423"/>
    <w:rsid w:val="360A78E1"/>
    <w:rsid w:val="3718612A"/>
    <w:rsid w:val="37C343F2"/>
    <w:rsid w:val="39686D9A"/>
    <w:rsid w:val="3CAD59EE"/>
    <w:rsid w:val="42F1424E"/>
    <w:rsid w:val="46085725"/>
    <w:rsid w:val="46674F9B"/>
    <w:rsid w:val="48E63032"/>
    <w:rsid w:val="4DF70874"/>
    <w:rsid w:val="53526FEE"/>
    <w:rsid w:val="588C0D05"/>
    <w:rsid w:val="5DBB5020"/>
    <w:rsid w:val="637F1170"/>
    <w:rsid w:val="63A335BF"/>
    <w:rsid w:val="6835466A"/>
    <w:rsid w:val="6A521800"/>
    <w:rsid w:val="6B367ECC"/>
    <w:rsid w:val="70082960"/>
    <w:rsid w:val="73367E96"/>
    <w:rsid w:val="735752FF"/>
    <w:rsid w:val="778D2611"/>
    <w:rsid w:val="7C030BAC"/>
    <w:rsid w:val="7C1423E9"/>
    <w:rsid w:val="7D8C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western"/>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font4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7213</Words>
  <Characters>7288</Characters>
  <Lines>0</Lines>
  <Paragraphs>0</Paragraphs>
  <TotalTime>4</TotalTime>
  <ScaleCrop>false</ScaleCrop>
  <LinksUpToDate>false</LinksUpToDate>
  <CharactersWithSpaces>7415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2023-06-13T01:12:00Z</dcterms:created>
  <dc:creator>noname</dc:creator>
  <cp:lastModifiedBy>白倩楠</cp:lastModifiedBy>
  <cp:lastPrinted>2023-08-23T03:57:00Z</cp:lastPrinted>
  <dcterms:modified xsi:type="dcterms:W3CDTF">2023-10-13T07:34:22Z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14845ED1112A4A5A89047BC8542D2214_13</vt:lpwstr>
  </property>
</Properties>
</file>