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olor w:val="FF0000"/>
          <w:sz w:val="84"/>
          <w:szCs w:val="84"/>
        </w:rPr>
      </w:pPr>
    </w:p>
    <w:p>
      <w:pPr>
        <w:jc w:val="center"/>
        <w:rPr>
          <w:rFonts w:hint="eastAsia" w:ascii="仿宋_GB2312" w:eastAsia="仿宋_GB2312"/>
          <w:sz w:val="32"/>
          <w:szCs w:val="32"/>
        </w:rPr>
      </w:pPr>
      <w:r>
        <w:rPr>
          <w:rFonts w:hint="eastAsia" w:ascii="宋体" w:hAnsi="宋体"/>
          <w:color w:val="FF0000"/>
          <w:sz w:val="84"/>
          <w:szCs w:val="84"/>
        </w:rPr>
        <w:pict>
          <v:shape id="_x0000_i1025" o:spt="136" type="#_x0000_t136" style="height:67.2pt;width:419.35pt;" fillcolor="#FF0000" filled="t" stroked="t" coordsize="21600,21600">
            <v:path/>
            <v:fill on="t" focussize="0,0"/>
            <v:stroke color="#FF0000"/>
            <v:imagedata o:title=""/>
            <o:lock v:ext="edit" aspectratio="f"/>
            <v:textpath on="t" fitshape="t" fitpath="t" trim="t" xscale="f" string="汉中市南郑区人民政府办公室文件" style="font-family:方正小标宋简体;font-size:36pt;font-weight:bold;v-rotate-letters:f;v-same-letter-heights:f;v-text-align:center;"/>
            <w10:wrap type="none"/>
            <w10:anchorlock/>
          </v:shape>
        </w:pict>
      </w:r>
    </w:p>
    <w:p>
      <w:pPr>
        <w:spacing w:line="600" w:lineRule="exact"/>
        <w:rPr>
          <w:rFonts w:eastAsia="仿宋_GB2312"/>
        </w:rPr>
      </w:pPr>
    </w:p>
    <w:p>
      <w:pPr>
        <w:pStyle w:val="13"/>
        <w:spacing w:line="560" w:lineRule="exact"/>
        <w:ind w:left="-1077" w:right="374" w:rightChars="178" w:firstLine="736" w:firstLineChars="286"/>
        <w:rPr>
          <w:rFonts w:ascii="Times New Roman" w:hAnsi="Times New Roman"/>
          <w:w w:val="80"/>
        </w:rPr>
      </w:pPr>
      <w:r>
        <w:rPr>
          <w:rFonts w:ascii="Times New Roman" w:hAnsi="Times New Roman" w:eastAsia="仿宋_GB2312"/>
          <w:b/>
          <w:w w:val="80"/>
          <w:sz w:val="32"/>
          <w:szCs w:val="32"/>
        </w:rPr>
        <w:t xml:space="preserve">   </w:t>
      </w:r>
      <w:r>
        <w:rPr>
          <w:rFonts w:ascii="Times New Roman" w:hAnsi="Times New Roman"/>
          <w:w w:val="80"/>
        </w:rPr>
        <w:t xml:space="preserve">  </w:t>
      </w:r>
    </w:p>
    <w:p>
      <w:pPr>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南政办发〔2020〕47号</w:t>
      </w:r>
    </w:p>
    <w:p>
      <w:pPr>
        <w:pStyle w:val="13"/>
        <w:spacing w:line="560" w:lineRule="exact"/>
        <w:ind w:right="374" w:rightChars="178"/>
        <w:rPr>
          <w:rFonts w:hint="eastAsia" w:ascii="Times New Roman" w:hAnsi="Times New Roman"/>
          <w:w w:val="80"/>
        </w:rPr>
      </w:pPr>
    </w:p>
    <w:p>
      <w:pPr>
        <w:pStyle w:val="13"/>
        <w:spacing w:line="560" w:lineRule="exact"/>
        <w:ind w:left="-1077" w:right="374" w:rightChars="178" w:firstLine="915" w:firstLineChars="286"/>
        <w:rPr>
          <w:rFonts w:hint="default" w:ascii="Times New Roman" w:hAnsi="Times New Roman" w:eastAsia="方正小标宋简体" w:cs="Times New Roman"/>
          <w:kern w:val="0"/>
          <w:sz w:val="44"/>
          <w:szCs w:val="44"/>
        </w:rPr>
      </w:pPr>
      <w:r>
        <w:rPr>
          <w:rFonts w:hint="eastAsia" w:ascii="仿宋_GB2312" w:eastAsia="仿宋_GB2312"/>
          <w:sz w:val="32"/>
          <w:szCs w:val="32"/>
        </w:rPr>
        <w:pict>
          <v:line id="_x0000_s2057" o:spid="_x0000_s2057" o:spt="20" style="position:absolute;left:0pt;margin-left:0pt;margin-top:0.2pt;height:0.05pt;width:442.2pt;z-index:-251655168;mso-width-relative:page;mso-height-relative:page;" filled="f" stroked="t" coordsize="21600,21600">
            <v:path arrowok="t"/>
            <v:fill on="f" focussize="0,0"/>
            <v:stroke weight="1.5pt" color="#FF0000"/>
            <v:imagedata o:title=""/>
            <o:lock v:ext="edit"/>
          </v:line>
        </w:pict>
      </w:r>
    </w:p>
    <w:p>
      <w:pPr>
        <w:spacing w:line="580" w:lineRule="exact"/>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kern w:val="0"/>
          <w:sz w:val="44"/>
          <w:szCs w:val="44"/>
        </w:rPr>
        <w:t>汉中市南郑区人民政府办公室</w:t>
      </w:r>
    </w:p>
    <w:p>
      <w:pPr>
        <w:spacing w:line="580" w:lineRule="exact"/>
        <w:jc w:val="center"/>
        <w:rPr>
          <w:rFonts w:hint="default" w:ascii="Times New Roman" w:hAnsi="Times New Roman" w:eastAsia="方正小标宋简体" w:cs="Times New Roman"/>
          <w:spacing w:val="-11"/>
          <w:kern w:val="0"/>
          <w:sz w:val="44"/>
          <w:szCs w:val="44"/>
        </w:rPr>
      </w:pPr>
      <w:r>
        <w:rPr>
          <w:rFonts w:hint="default" w:ascii="Times New Roman" w:hAnsi="Times New Roman" w:eastAsia="方正小标宋简体" w:cs="Times New Roman"/>
          <w:spacing w:val="-11"/>
          <w:kern w:val="0"/>
          <w:sz w:val="44"/>
          <w:szCs w:val="44"/>
        </w:rPr>
        <w:t>关于印发《汉中市南郑区</w:t>
      </w:r>
      <w:bookmarkStart w:id="0" w:name="_GoBack"/>
      <w:bookmarkEnd w:id="0"/>
      <w:r>
        <w:rPr>
          <w:rFonts w:hint="default" w:ascii="Times New Roman" w:hAnsi="Times New Roman" w:eastAsia="方正小标宋简体" w:cs="Times New Roman"/>
          <w:spacing w:val="-11"/>
          <w:kern w:val="0"/>
          <w:sz w:val="44"/>
          <w:szCs w:val="44"/>
        </w:rPr>
        <w:t>区域经济发展和城镇建设三年行动计划实施方案(2020—2022年)的</w:t>
      </w:r>
    </w:p>
    <w:p>
      <w:pPr>
        <w:spacing w:line="58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通     知</w:t>
      </w:r>
    </w:p>
    <w:p>
      <w:pPr>
        <w:pStyle w:val="2"/>
        <w:spacing w:line="200" w:lineRule="exact"/>
        <w:rPr>
          <w:rFonts w:hint="default" w:ascii="Times New Roman" w:hAnsi="Times New Roman" w:cs="Times New Roman"/>
        </w:rPr>
      </w:pPr>
    </w:p>
    <w:p>
      <w:pPr>
        <w:spacing w:line="540" w:lineRule="exact"/>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sz w:val="32"/>
          <w:szCs w:val="32"/>
        </w:rPr>
        <w:t>各镇人民政府（街道办事处），工业园区管委会，区政府有关工作部门、直属机构：</w:t>
      </w:r>
    </w:p>
    <w:p>
      <w:pPr>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《汉中市南郑区区域经济发展和城镇建设三年行动计划实施方案(2020-2022年)》已经区政府同意，现印发给你们，请认真贯彻执行。</w:t>
      </w:r>
    </w:p>
    <w:p>
      <w:pPr>
        <w:spacing w:line="260" w:lineRule="exact"/>
        <w:jc w:val="center"/>
        <w:rPr>
          <w:rFonts w:hint="default" w:ascii="Times New Roman" w:hAnsi="Times New Roman" w:eastAsia="仿宋_GB2312" w:cs="Times New Roman"/>
          <w:bCs/>
          <w:spacing w:val="-4"/>
          <w:sz w:val="32"/>
          <w:szCs w:val="32"/>
        </w:rPr>
      </w:pPr>
    </w:p>
    <w:p>
      <w:pPr>
        <w:spacing w:line="500" w:lineRule="exact"/>
        <w:jc w:val="both"/>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pacing w:val="-4"/>
          <w:sz w:val="32"/>
          <w:szCs w:val="32"/>
        </w:rPr>
        <w:t xml:space="preserve">  </w:t>
      </w:r>
      <w:r>
        <w:rPr>
          <w:rFonts w:hint="default" w:ascii="Times New Roman" w:hAnsi="Times New Roman" w:eastAsia="仿宋_GB2312" w:cs="Times New Roman"/>
          <w:bCs/>
          <w:spacing w:val="-4"/>
          <w:sz w:val="32"/>
          <w:szCs w:val="32"/>
          <w:lang w:val="en-US" w:eastAsia="zh-CN"/>
        </w:rPr>
        <w:t xml:space="preserve">                        </w:t>
      </w:r>
      <w:r>
        <w:rPr>
          <w:rFonts w:hint="default" w:ascii="Times New Roman" w:hAnsi="Times New Roman" w:eastAsia="仿宋_GB2312" w:cs="Times New Roman"/>
          <w:bCs/>
          <w:spacing w:val="-4"/>
          <w:sz w:val="32"/>
          <w:szCs w:val="32"/>
        </w:rPr>
        <w:t>汉中市南郑区人民政府办公室</w:t>
      </w:r>
    </w:p>
    <w:p>
      <w:pPr>
        <w:spacing w:line="500" w:lineRule="exact"/>
        <w:ind w:firstLine="4992" w:firstLineChars="1600"/>
        <w:rPr>
          <w:rFonts w:hint="default" w:ascii="Times New Roman" w:hAnsi="Times New Roman" w:eastAsia="方正小标宋简体" w:cs="Times New Roman"/>
          <w:kern w:val="0"/>
          <w:sz w:val="44"/>
          <w:szCs w:val="44"/>
        </w:rPr>
      </w:pPr>
      <w:r>
        <w:rPr>
          <w:rFonts w:hint="default" w:ascii="Times New Roman" w:hAnsi="Times New Roman" w:eastAsia="仿宋_GB2312" w:cs="Times New Roman"/>
          <w:bCs/>
          <w:spacing w:val="-4"/>
          <w:sz w:val="32"/>
          <w:szCs w:val="32"/>
        </w:rPr>
        <w:t>2020年12月</w:t>
      </w:r>
      <w:r>
        <w:rPr>
          <w:rFonts w:hint="default" w:ascii="Times New Roman" w:hAnsi="Times New Roman" w:eastAsia="仿宋_GB2312" w:cs="Times New Roman"/>
          <w:bCs/>
          <w:spacing w:val="-4"/>
          <w:sz w:val="32"/>
          <w:szCs w:val="32"/>
          <w:lang w:val="en-US" w:eastAsia="zh-CN"/>
        </w:rPr>
        <w:t>3</w:t>
      </w:r>
      <w:r>
        <w:rPr>
          <w:rFonts w:hint="default" w:ascii="Times New Roman" w:hAnsi="Times New Roman" w:eastAsia="仿宋_GB2312" w:cs="Times New Roman"/>
          <w:bCs/>
          <w:spacing w:val="-4"/>
          <w:sz w:val="32"/>
          <w:szCs w:val="32"/>
        </w:rPr>
        <w:t>日</w:t>
      </w:r>
    </w:p>
    <w:p>
      <w:pPr>
        <w:widowControl/>
        <w:spacing w:line="640" w:lineRule="exact"/>
        <w:jc w:val="center"/>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汉中市南郑区区域经济发展和城镇建设</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三年行动计划实施方案(2020-2022年)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kern w:val="0"/>
          <w:sz w:val="32"/>
          <w:szCs w:val="32"/>
        </w:rPr>
        <w:t>区域兴则南郑兴，城镇强则南郑强。当前，南郑已步入</w:t>
      </w:r>
      <w:r>
        <w:rPr>
          <w:rFonts w:hint="default" w:ascii="Times New Roman" w:hAnsi="Times New Roman" w:eastAsia="仿宋_GB2312" w:cs="Times New Roman"/>
          <w:spacing w:val="8"/>
          <w:sz w:val="32"/>
          <w:szCs w:val="32"/>
          <w:shd w:val="clear" w:color="auto" w:fill="FFFFFF"/>
        </w:rPr>
        <w:t>以推动高质量发展为主题，以深化供给侧结构性改革为主线的重要发展时期，加快新时代南郑追赶超越、建设“三地强区”步伐，迫切需要发挥区域经济的支撑作用、城镇建设的带动作用。</w:t>
      </w:r>
      <w:r>
        <w:rPr>
          <w:rFonts w:hint="default" w:ascii="Times New Roman" w:hAnsi="Times New Roman" w:eastAsia="仿宋_GB2312" w:cs="Times New Roman"/>
          <w:kern w:val="0"/>
          <w:sz w:val="32"/>
          <w:szCs w:val="32"/>
        </w:rPr>
        <w:t>为深入贯彻省委、省政府和市委、市政府关于加快县域经济发展和城镇建设三年行动计划的相关要求，结合我区实际，提出如下意见。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2312" w:cs="Times New Roman"/>
          <w:kern w:val="0"/>
          <w:sz w:val="32"/>
          <w:szCs w:val="32"/>
        </w:rPr>
      </w:pPr>
      <w:r>
        <w:rPr>
          <w:rFonts w:hint="default" w:ascii="Times New Roman" w:hAnsi="Times New Roman" w:eastAsia="黑体" w:cs="Times New Roman"/>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Cs/>
          <w:kern w:val="0"/>
          <w:sz w:val="32"/>
          <w:szCs w:val="32"/>
        </w:rPr>
        <w:t>(一)指导思想</w:t>
      </w:r>
      <w:r>
        <w:rPr>
          <w:rFonts w:hint="default" w:ascii="Times New Roman" w:hAnsi="Times New Roman" w:eastAsia="楷体_GB2312" w:cs="Times New Roman"/>
          <w:kern w:val="0"/>
          <w:sz w:val="32"/>
          <w:szCs w:val="32"/>
        </w:rPr>
        <w:t>。</w:t>
      </w:r>
      <w:r>
        <w:rPr>
          <w:rFonts w:hint="default" w:ascii="Times New Roman" w:hAnsi="Times New Roman" w:eastAsia="仿宋_GB2312" w:cs="Times New Roman"/>
          <w:kern w:val="0"/>
          <w:sz w:val="32"/>
          <w:szCs w:val="32"/>
        </w:rPr>
        <w:t>深入贯彻落实习近平新时代中国特色社会主义思想和习近平总书记来陕考察重要讲话重要指示，积极践行新发展理念，扎实做好“六稳”工作，全面落实“六保”任务，以供给侧结构性改革为主线，聚焦追赶超越目标和“五个扎实”要求，深入推进产业融合、路讯通畅、城乡统筹、生态建设、脱贫攻坚、民生保障“六大工程”，立足绿色循环发展、生态宜居发展定位，坚持生态保护优先，通过完善区域政策体系、优化资源要素配置、引导市场主体积极参与，培育壮大主导产业、加快产业园区创新发展、推进城镇基础建设、完善公共服务平台、促进非公经济持续壮大，推动我区经济高质量发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2312" w:cs="Times New Roman"/>
          <w:kern w:val="0"/>
          <w:sz w:val="32"/>
          <w:szCs w:val="32"/>
        </w:rPr>
      </w:pPr>
      <w:r>
        <w:rPr>
          <w:rFonts w:hint="default" w:ascii="Times New Roman" w:hAnsi="Times New Roman" w:eastAsia="楷体_GB2312" w:cs="Times New Roman"/>
          <w:bCs/>
          <w:kern w:val="0"/>
          <w:sz w:val="32"/>
          <w:szCs w:val="32"/>
        </w:rPr>
        <w:t>(二)工作目标。</w:t>
      </w:r>
      <w:r>
        <w:rPr>
          <w:rFonts w:hint="default" w:ascii="Times New Roman" w:hAnsi="Times New Roman" w:eastAsia="仿宋_GB2312" w:cs="Times New Roman"/>
          <w:kern w:val="0"/>
          <w:sz w:val="32"/>
          <w:szCs w:val="32"/>
        </w:rPr>
        <w:t>力争经过3年努力，区域经济发展速度明显加快，经济实力显著增强；产业结构不断优化，产业支撑能力明显增强；人民生活水平明显提高，人民群众获得感幸福感明显提升；城乡面貌显著改善，新型城镇化体系初步成型。到2022年，区域GDP增速达到全省平均值以上；全区服务业增加值占全区生产总值的比重达到37%以上。规模以上工业企业研究与试验发展经费投入强度达到全市平均水平。城区污水处理率达到80%，生活垃圾无害化处理率达到90%，城区绿地率、绿化覆盖率指标分别提高1至2个百分点，人均公园绿地面积增加0.5至1平方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2312" w:cs="Times New Roman"/>
          <w:kern w:val="0"/>
          <w:sz w:val="32"/>
          <w:szCs w:val="32"/>
        </w:rPr>
      </w:pPr>
      <w:r>
        <w:rPr>
          <w:rFonts w:hint="default" w:ascii="Times New Roman" w:hAnsi="Times New Roman" w:eastAsia="黑体" w:cs="Times New Roman"/>
          <w:kern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Cs/>
          <w:kern w:val="0"/>
          <w:sz w:val="32"/>
          <w:szCs w:val="32"/>
        </w:rPr>
        <w:t>(一)培育壮大主导产业。</w:t>
      </w:r>
      <w:r>
        <w:rPr>
          <w:rFonts w:hint="default" w:ascii="Times New Roman" w:hAnsi="Times New Roman" w:eastAsia="仿宋_GB2312" w:cs="Times New Roman"/>
          <w:kern w:val="0"/>
          <w:sz w:val="32"/>
          <w:szCs w:val="32"/>
        </w:rPr>
        <w:t>按照“一县一策”要求，依托本区资源禀赋和产业基础，加快产业结构调整，紧盯主导产业培育，发展壮大旅游产业和装备制造业，抢抓“四个在汉中”机遇，不断推进新型城镇化进程，建设省级经济强区。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1.培育特色现代农业。</w:t>
      </w:r>
      <w:r>
        <w:rPr>
          <w:rFonts w:hint="default" w:ascii="Times New Roman" w:hAnsi="Times New Roman" w:eastAsia="仿宋_GB2312" w:cs="Times New Roman"/>
          <w:sz w:val="32"/>
          <w:szCs w:val="32"/>
        </w:rPr>
        <w:t>以农业供给侧结构性改革为主线，按照产业兴旺、生态宜居、乡风文明、治理有效、生活富裕总要求，加快推进农业农村现代化。完善现代农业产业体系。投建以粮油生产为基础，茶叶、生猪、烤烟、食用菌、果蔬、稻田综合种养、中药材、中蜂养殖等产业为支撑的农业产业体系。健全现代农业生产体系。以农业生产的生态化、标准化、信息化为主体，推动农业综合生产能力提升。积极创建农业高新技术产业示范园和一二三产业融合发展示范园。完善现代农业经营体系。培育一批一二三产业融合、适度规模、经营多样、社会化服务支撑、与“互联网+”紧密结合的各类新型经营主体。(区农业农村局牵头，区发改局、经贸局、文旅局、科技局、各镇&lt;街道办&gt;配合)</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kern w:val="0"/>
          <w:szCs w:val="32"/>
        </w:rPr>
        <w:t>2.壮大区域工业。</w:t>
      </w:r>
      <w:r>
        <w:rPr>
          <w:rFonts w:hint="default" w:ascii="Times New Roman" w:hAnsi="Times New Roman" w:eastAsia="仿宋_GB2312" w:cs="Times New Roman"/>
          <w:kern w:val="0"/>
          <w:szCs w:val="32"/>
        </w:rPr>
        <w:t>实施工业强区战略，重点构建以装备制造、现代材料、绿色食药、电子信息、清洁能源“五个工业”为主体的现代工业体系。</w:t>
      </w:r>
      <w:r>
        <w:rPr>
          <w:rFonts w:hint="default" w:ascii="Times New Roman" w:hAnsi="Times New Roman" w:eastAsia="仿宋_GB2312" w:cs="Times New Roman"/>
          <w:b/>
          <w:kern w:val="0"/>
          <w:szCs w:val="32"/>
        </w:rPr>
        <w:t>装备制造上，</w:t>
      </w:r>
      <w:r>
        <w:rPr>
          <w:rFonts w:hint="default" w:ascii="Times New Roman" w:hAnsi="Times New Roman" w:eastAsia="仿宋_GB2312" w:cs="Times New Roman"/>
          <w:kern w:val="0"/>
          <w:szCs w:val="32"/>
        </w:rPr>
        <w:t>加快圣水装备制造产业基地建设，引进培育汽车零部件制造、工业机器人制造等产业，积极发展医疗设备、家用电器等制造业，积极推进军民融合发展，支持企业生产制造技术创新和产品创新。</w:t>
      </w:r>
      <w:r>
        <w:rPr>
          <w:rFonts w:hint="default" w:ascii="Times New Roman" w:hAnsi="Times New Roman" w:eastAsia="仿宋_GB2312" w:cs="Times New Roman"/>
          <w:b/>
          <w:kern w:val="0"/>
          <w:szCs w:val="32"/>
        </w:rPr>
        <w:t>现代材料上，</w:t>
      </w:r>
      <w:r>
        <w:rPr>
          <w:rFonts w:hint="default" w:ascii="Times New Roman" w:hAnsi="Times New Roman" w:eastAsia="仿宋_GB2312" w:cs="Times New Roman"/>
          <w:kern w:val="0"/>
          <w:szCs w:val="32"/>
        </w:rPr>
        <w:t>打造装配式建筑全产业链，依托双汉钢构等龙头企业，加快梁山工业园区装配式产业基地建设。加快传统材料产业循环升级改造，积极推进新集建材循环经济产业园建设。</w:t>
      </w:r>
      <w:r>
        <w:rPr>
          <w:rFonts w:hint="default" w:ascii="Times New Roman" w:hAnsi="Times New Roman" w:eastAsia="仿宋_GB2312" w:cs="Times New Roman"/>
          <w:b/>
          <w:kern w:val="0"/>
          <w:szCs w:val="32"/>
        </w:rPr>
        <w:t>绿色食药上，</w:t>
      </w:r>
      <w:r>
        <w:rPr>
          <w:rFonts w:hint="default" w:ascii="Times New Roman" w:hAnsi="Times New Roman" w:eastAsia="仿宋_GB2312" w:cs="Times New Roman"/>
          <w:kern w:val="0"/>
          <w:szCs w:val="32"/>
        </w:rPr>
        <w:t>以阳春食品园区为主体，积极发展绿色粮油产品、高品质畜产品等绿色有机食品品牌。重点打造特色林产精深加工链、中医药特色产业链。积极培育黄酒、果酒等特色产业。</w:t>
      </w:r>
      <w:r>
        <w:rPr>
          <w:rFonts w:hint="default" w:ascii="Times New Roman" w:hAnsi="Times New Roman" w:eastAsia="仿宋_GB2312" w:cs="Times New Roman"/>
          <w:b/>
          <w:kern w:val="0"/>
          <w:szCs w:val="32"/>
        </w:rPr>
        <w:t>电子信息上，</w:t>
      </w:r>
      <w:r>
        <w:rPr>
          <w:rFonts w:hint="default" w:ascii="Times New Roman" w:hAnsi="Times New Roman" w:eastAsia="仿宋_GB2312" w:cs="Times New Roman"/>
          <w:kern w:val="0"/>
          <w:szCs w:val="32"/>
        </w:rPr>
        <w:t>以草堰机电产业园为主体，重点引进培育通信与网络、新型元器件及材料、集成电路等基础产业，加大物联网、人工智能等新兴产业引进力度。</w:t>
      </w:r>
      <w:r>
        <w:rPr>
          <w:rFonts w:hint="default" w:ascii="Times New Roman" w:hAnsi="Times New Roman" w:eastAsia="仿宋_GB2312" w:cs="Times New Roman"/>
          <w:b/>
          <w:kern w:val="0"/>
          <w:szCs w:val="32"/>
        </w:rPr>
        <w:t>清洁能源上，</w:t>
      </w:r>
      <w:r>
        <w:rPr>
          <w:rFonts w:hint="default" w:ascii="Times New Roman" w:hAnsi="Times New Roman" w:eastAsia="仿宋_GB2312" w:cs="Times New Roman"/>
          <w:szCs w:val="32"/>
        </w:rPr>
        <w:t>加快以“天然气入户”为重点的气化南郑工程建设，全力支持大河坎热源站项目建设，逐步实现大河坎片区机关、学校、小区集中供热全覆盖。</w:t>
      </w:r>
      <w:r>
        <w:rPr>
          <w:rFonts w:hint="default" w:ascii="Times New Roman" w:hAnsi="Times New Roman" w:eastAsia="仿宋_GB2312" w:cs="Times New Roman"/>
          <w:kern w:val="0"/>
          <w:szCs w:val="32"/>
        </w:rPr>
        <w:t>加快水电产业升级发展，积极推进南郑区块页岩气勘查开发。(</w:t>
      </w:r>
      <w:r>
        <w:rPr>
          <w:rFonts w:hint="default" w:ascii="Times New Roman" w:hAnsi="Times New Roman" w:eastAsia="仿宋_GB2312" w:cs="Times New Roman"/>
          <w:szCs w:val="32"/>
        </w:rPr>
        <w:t>区经贸局牵头，区发改局、科技局、工业园区管委会、各镇&lt;街道办&gt;配合)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3.提升服务业发展质量。</w:t>
      </w:r>
      <w:r>
        <w:rPr>
          <w:rFonts w:hint="default" w:ascii="Times New Roman" w:hAnsi="Times New Roman" w:eastAsia="仿宋_GB2312" w:cs="Times New Roman"/>
          <w:kern w:val="0"/>
          <w:sz w:val="32"/>
          <w:szCs w:val="32"/>
        </w:rPr>
        <w:t>构建南郑与汉台、城区与镇村良性互动格局，依据消费需求新变化，重构城市消费新业态，共建区域性中心城市品牌经济，增强“南郑服务”吸引力，打响“南郑服务”品牌。推动新兴服务业发展，探索建立商业零售、商务办公、酒店餐饮、公寓住宅、综合娱乐相融合的城市综合体。</w:t>
      </w:r>
      <w:r>
        <w:rPr>
          <w:rFonts w:hint="default" w:ascii="Times New Roman" w:hAnsi="Times New Roman" w:eastAsia="仿宋_GB2312" w:cs="Times New Roman"/>
          <w:sz w:val="32"/>
          <w:szCs w:val="32"/>
        </w:rPr>
        <w:t>加快推进电商产业园建设，不断完善物流体系，打造汉中市物流中心。积极引进京东等大型电商平台和菜鸟等大型物流企业在南郑设立区域分拨中心，加快推进京东城市仓、产地仓南郑运行中心项目。</w:t>
      </w:r>
      <w:r>
        <w:rPr>
          <w:rFonts w:hint="default" w:ascii="Times New Roman" w:hAnsi="Times New Roman" w:eastAsia="仿宋_GB2312" w:cs="Times New Roman"/>
          <w:kern w:val="0"/>
          <w:sz w:val="32"/>
          <w:szCs w:val="32"/>
        </w:rPr>
        <w:t>加快社区、镇村商业服务体系建设，积极发展农村冷链物流，</w:t>
      </w:r>
      <w:r>
        <w:rPr>
          <w:rFonts w:hint="default" w:ascii="Times New Roman" w:hAnsi="Times New Roman" w:eastAsia="仿宋_GB2312" w:cs="Times New Roman"/>
          <w:sz w:val="32"/>
          <w:szCs w:val="32"/>
        </w:rPr>
        <w:t>从产地集配中心、冷库等商品化处理设施入手，建立健全农产品产后服务体系。</w:t>
      </w:r>
      <w:r>
        <w:rPr>
          <w:rFonts w:hint="default" w:ascii="Times New Roman" w:hAnsi="Times New Roman" w:eastAsia="仿宋_GB2312" w:cs="Times New Roman"/>
          <w:kern w:val="0"/>
          <w:sz w:val="32"/>
          <w:szCs w:val="32"/>
        </w:rPr>
        <w:t>支持农村电商发展，培育网络化、智能化、精细化的现代生态农业新模式，建立镇村物流节点，促进小农户对接大市场。</w:t>
      </w:r>
      <w:r>
        <w:rPr>
          <w:rFonts w:hint="default" w:ascii="Times New Roman" w:hAnsi="Times New Roman" w:eastAsia="仿宋_GB2312" w:cs="Times New Roman"/>
          <w:color w:val="000000"/>
          <w:kern w:val="0"/>
          <w:sz w:val="32"/>
          <w:szCs w:val="32"/>
        </w:rPr>
        <w:t>持续引导社会力量进入旅游、家政、养老、健身、文化娱乐等居民需求旺盛的服务消费重点领域，围绕消费升级的方向，努力增加高品质产品和服务供给，满足群众日益增长的消费需求。(区经贸局牵头，区发改局、经合局、农业农村局、文旅局、电商办，各镇&lt;街道办&gt;配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4.加大旅游产业发展。</w:t>
      </w:r>
      <w:r>
        <w:rPr>
          <w:rFonts w:hint="default" w:ascii="Times New Roman" w:hAnsi="Times New Roman" w:eastAsia="仿宋_GB2312" w:cs="Times New Roman"/>
          <w:kern w:val="0"/>
          <w:sz w:val="32"/>
          <w:szCs w:val="32"/>
        </w:rPr>
        <w:t>紧盯“全域旅游”战略布局，</w:t>
      </w:r>
      <w:r>
        <w:rPr>
          <w:rFonts w:hint="default" w:ascii="Times New Roman" w:hAnsi="Times New Roman" w:eastAsia="仿宋_GB2312" w:cs="Times New Roman"/>
          <w:sz w:val="32"/>
          <w:szCs w:val="32"/>
        </w:rPr>
        <w:t>围绕“</w:t>
      </w:r>
      <w:r>
        <w:rPr>
          <w:rFonts w:hint="default" w:ascii="Times New Roman" w:hAnsi="Times New Roman" w:eastAsia="仿宋_GB2312" w:cs="Times New Roman"/>
          <w:color w:val="000000"/>
          <w:kern w:val="0"/>
          <w:sz w:val="32"/>
          <w:szCs w:val="32"/>
        </w:rPr>
        <w:t>山水南郑·诗画家园”总体定位，充分挖掘全区生态旅游资源。聚力打造精品景区。提速黎坪景区创5A工作步伐，深度开发枫林瀑布等景点，</w:t>
      </w:r>
      <w:r>
        <w:rPr>
          <w:rFonts w:hint="default" w:ascii="Times New Roman" w:hAnsi="Times New Roman" w:eastAsia="仿宋_GB2312" w:cs="Times New Roman"/>
          <w:kern w:val="0"/>
          <w:sz w:val="32"/>
          <w:szCs w:val="32"/>
        </w:rPr>
        <w:t>抓好龙头山景区创4A工作，不断提</w:t>
      </w:r>
      <w:r>
        <w:rPr>
          <w:rFonts w:hint="default" w:ascii="Times New Roman" w:hAnsi="Times New Roman" w:eastAsia="仿宋_GB2312" w:cs="Times New Roman"/>
          <w:color w:val="000000"/>
          <w:kern w:val="0"/>
          <w:sz w:val="32"/>
          <w:szCs w:val="32"/>
        </w:rPr>
        <w:t>升接待能力、拓展省外市场，打造汉中旅游新品牌。加大南湖、红寺湖景区投入力度、开发强度，实施好门户区、游乐园等工程。持续推进汉山旅游综合开发，重点抓好植物园、万亩果园等项目。着力推动融合发展。坚持以旅兴农，依托阳春高台、濂水黄官、圣水法镇3条乡村旅游环线，大力发展观光农业、田园民宿等业态，鼓励引导群众通过旅</w:t>
      </w:r>
      <w:r>
        <w:rPr>
          <w:rFonts w:hint="default" w:ascii="Times New Roman" w:hAnsi="Times New Roman" w:eastAsia="仿宋_GB2312" w:cs="Times New Roman"/>
          <w:sz w:val="32"/>
          <w:szCs w:val="32"/>
        </w:rPr>
        <w:t>游商品、土地流转、劳务服务等方式融入产业链条，打造2-3个乡村旅游品牌。坚持以文兴旅，深度挖掘特色地域文化、红色文化资源，加强文物遗产保护利用，积极</w:t>
      </w:r>
      <w:r>
        <w:rPr>
          <w:rFonts w:hint="default" w:ascii="Times New Roman" w:hAnsi="Times New Roman" w:cs="Times New Roman"/>
        </w:rPr>
        <w:fldChar w:fldCharType="begin"/>
      </w:r>
      <w:r>
        <w:rPr>
          <w:rFonts w:hint="default" w:ascii="Times New Roman" w:hAnsi="Times New Roman" w:cs="Times New Roman"/>
        </w:rPr>
        <w:instrText xml:space="preserve"> HYPERLINK "http://www.baidu.com/link?url=45aHTQTjCb9RnA3Zk8wX6zj0_neyHE3H-xLYWUqgDGqhC-8_NvPZtmT8s6a4Lf2GBeYErKFjENgPVTadQFhiiK" \t "https://www.baidu.com/_blank"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培育市场主体，</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推动文旅产业深度融合。</w:t>
      </w:r>
      <w:r>
        <w:rPr>
          <w:rFonts w:hint="default" w:ascii="Times New Roman" w:hAnsi="Times New Roman" w:eastAsia="仿宋_GB2312" w:cs="Times New Roman"/>
          <w:color w:val="000000"/>
          <w:kern w:val="0"/>
          <w:sz w:val="32"/>
          <w:szCs w:val="20"/>
          <w:lang w:val="zh-CN"/>
        </w:rPr>
        <w:t>将我区建成国内知名特色旅游休闲目的地。</w:t>
      </w:r>
      <w:r>
        <w:rPr>
          <w:rFonts w:hint="default" w:ascii="Times New Roman" w:hAnsi="Times New Roman" w:eastAsia="仿宋_GB2312" w:cs="Times New Roman"/>
          <w:color w:val="000000"/>
          <w:kern w:val="0"/>
          <w:sz w:val="32"/>
          <w:szCs w:val="20"/>
        </w:rPr>
        <w:t>(</w:t>
      </w:r>
      <w:r>
        <w:rPr>
          <w:rFonts w:hint="default" w:ascii="Times New Roman" w:hAnsi="Times New Roman" w:eastAsia="仿宋_GB2312" w:cs="Times New Roman"/>
          <w:color w:val="000000"/>
          <w:kern w:val="0"/>
          <w:sz w:val="32"/>
          <w:szCs w:val="32"/>
        </w:rPr>
        <w:t>区文旅局牵头，区农业农村局、交通局、各镇&lt;街道办&gt;配合</w:t>
      </w:r>
      <w:r>
        <w:rPr>
          <w:rFonts w:hint="default" w:ascii="Times New Roman" w:hAnsi="Times New Roman" w:eastAsia="仿宋_GB2312" w:cs="Times New Roman"/>
          <w:color w:val="000000"/>
          <w:kern w:val="0"/>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Cs/>
          <w:kern w:val="0"/>
          <w:sz w:val="32"/>
          <w:szCs w:val="32"/>
        </w:rPr>
        <w:t>(二)抓好区域项目建设。</w:t>
      </w:r>
      <w:r>
        <w:rPr>
          <w:rFonts w:hint="default" w:ascii="Times New Roman" w:hAnsi="Times New Roman" w:eastAsia="仿宋_GB2312" w:cs="Times New Roman"/>
          <w:color w:val="000000"/>
          <w:kern w:val="0"/>
          <w:sz w:val="32"/>
          <w:szCs w:val="32"/>
        </w:rPr>
        <w:t>抓好市级、区级重点项目建设，强化项目管理、推进项目建设、强化项目谋划储备、优化服务环境，全力以赴稳投资促增长。积极争取中央和省级项目建设资金和债券，以项目建设带动有效投资。围绕城镇建设、生态环保、农业农村等领域谋划一批基础设施类项目，着力解决制约项目建设的土地、资金、环保等难题。继续落实区级党政领导班子成员联系重点项目制度。(区发改局牵头，区住建局、交通局、农业农村局、林业局、水利局、财政局、区工业园区管委会、市自然资源局南郑分局、市生态环境局南郑分局、各镇&lt;街道办&gt;配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(三)推动产业园区建设。</w:t>
      </w:r>
      <w:r>
        <w:rPr>
          <w:rFonts w:hint="default" w:ascii="Times New Roman" w:hAnsi="Times New Roman" w:eastAsia="仿宋_GB2312" w:cs="Times New Roman"/>
          <w:sz w:val="32"/>
          <w:szCs w:val="32"/>
        </w:rPr>
        <w:t>深入贯彻落实《支持工业园区高质量发展的若干意见》，实施工业企业“退城入园”行动，做强草堰、梁山、阳春、新集、圣水、碑坝六个工业园区(集中区)，加快完善基础设施建设，推进标准化厂房建设，加快产业集聚，促进产城融合发展。加快建设苏陕协作产业区中园，创新合作共建体制机制，着力打造苏陕扶贫协作与经济合作产业区中园示范基地。实行精准招商，着力扩张园区经济总量，紧紧围绕新能源、新材料、新技术，做强做优上下游和配套产业，加快装备制造、生物医药、现代材料等产品研发及科技成果转化。(区工业园区管委会牵头，区经贸局、发改局、经合局、财政局、市生态环境局南郑分局、市自然资源局南郑分局配合)</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(四)提升城乡建设水平。</w:t>
      </w:r>
      <w:r>
        <w:rPr>
          <w:rFonts w:hint="default" w:ascii="Times New Roman" w:hAnsi="Times New Roman" w:eastAsia="仿宋_GB2312" w:cs="Times New Roman"/>
          <w:sz w:val="32"/>
          <w:szCs w:val="32"/>
        </w:rPr>
        <w:t>坚持“汉南一体、三镇共振、多点支撑、多极发力、全域发展”的城镇化发展思路，优化区域空间布局、完善功能分区、统筹城乡发展。结合国土空间规划编制，分步建设高品质的新城区，补齐功能短板，提升城市品质。重点实施中心城区基础设施和城镇公共服务设施提升工程，加强市政道路、垃圾污水处理场(站)建设，提升农贸市场、小商品市场、社区工厂等配套环境。坚持以点带面，抓好青树、新集和黎坪等小城镇建设，不断增强公共服务供给，提高城镇宜居宜业水平。</w:t>
      </w:r>
      <w:r>
        <w:rPr>
          <w:rFonts w:hint="default" w:ascii="Times New Roman" w:hAnsi="Times New Roman" w:eastAsia="仿宋_GB2312" w:cs="Times New Roman"/>
          <w:color w:val="000000"/>
          <w:kern w:val="0"/>
          <w:sz w:val="32"/>
          <w:szCs w:val="32"/>
        </w:rPr>
        <w:t>大力实施乡村振兴战略，持续实施农村人居环境整治，加强乡村生态环境保护与修复，进一步改善农村生产生活条件。加快推进城镇基础设施和公共服务向农村延伸，建立健全城乡融合发展体制机制。(区住建局牵头，区农业农村局、城市管理局、发改局、财政局、市自然资源局南郑分局，各镇&lt;街道办&gt;配合)</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(五)完善公共服务平台建设。</w:t>
      </w:r>
      <w:r>
        <w:rPr>
          <w:rFonts w:hint="default" w:ascii="Times New Roman" w:hAnsi="Times New Roman" w:eastAsia="仿宋_GB2312" w:cs="Times New Roman"/>
          <w:color w:val="000000"/>
          <w:kern w:val="0"/>
          <w:sz w:val="32"/>
          <w:szCs w:val="32"/>
        </w:rPr>
        <w:t>大力发展智慧物流、研发设计、融资租赁、检验检测等生产性服务平台建设。推行“融资平台+财政+金融+项目”等运作模式，打造供应链金融。积极争取与高校、科研院所共建技术创新和成果转化平台。</w:t>
      </w:r>
      <w:r>
        <w:rPr>
          <w:rFonts w:hint="default" w:ascii="Times New Roman" w:hAnsi="Times New Roman" w:eastAsia="仿宋_GB2312" w:cs="Times New Roman"/>
          <w:color w:val="000000"/>
          <w:sz w:val="32"/>
          <w:szCs w:val="32"/>
        </w:rPr>
        <w:t>以汉中学研新城为支撑，整合职教资源,积极引入大型企业和知名院校合作办学。</w:t>
      </w:r>
      <w:r>
        <w:rPr>
          <w:rFonts w:hint="default" w:ascii="Times New Roman" w:hAnsi="Times New Roman" w:eastAsia="仿宋_GB2312" w:cs="Times New Roman"/>
          <w:color w:val="000000"/>
          <w:kern w:val="0"/>
          <w:sz w:val="32"/>
          <w:szCs w:val="32"/>
        </w:rPr>
        <w:t>强化就业服务保障平台建设，围绕高校毕业生、农民工、退役军人等重点群体，实施稳就业精准帮扶、标准化创业中心创建、新型职业教育培训合作三项行动，基本实现进城落户农民完全纳入城镇公共就业服务体系、社会保障体系和住房保障体系。健全完善社会保障大数据平台。建设由城镇延伸到农村的统一社会救助、社会福利、社会保障大数据平台，加强各相关部门数据对接和信息共享。</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区发改局、经贸局、农业农村局、人社局、科技局、教体局、金融办、人民银行南郑支行按照部门职责各自牵头落实</w:t>
      </w:r>
      <w:r>
        <w:rPr>
          <w:rFonts w:hint="default" w:ascii="Times New Roman" w:hAnsi="Times New Roman" w:eastAsia="仿宋_GB2312" w:cs="Times New Roman"/>
          <w:sz w:val="32"/>
          <w:szCs w:val="32"/>
        </w:rPr>
        <w:t>)</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(六)激发经济发展活力。</w:t>
      </w:r>
      <w:r>
        <w:rPr>
          <w:rFonts w:hint="default" w:ascii="Times New Roman" w:hAnsi="Times New Roman" w:eastAsia="仿宋_GB2312" w:cs="Times New Roman"/>
          <w:color w:val="000000"/>
          <w:kern w:val="0"/>
          <w:sz w:val="32"/>
          <w:szCs w:val="32"/>
        </w:rPr>
        <w:t>深化农村土地制度改革。探索多种形式的“三权分置”模式，稳步推进土地流转、农业规模化经营。全面推行农村集体产权制度改革，盘活集体资源资产，采取存量折股、增量配股、土地入股等形式，壮大村级集体经济。积极推进农业经营体系改革，健全农村产权流转交易平台，引导村集体经营性和资源性资产入市交易，推动增减挂钩土地指标交易流转。深化投融资体制改革。加快政府融资平台市场化转型，防范化解政府债务风险。着力扩大开放，</w:t>
      </w:r>
      <w:r>
        <w:rPr>
          <w:rFonts w:hint="default" w:ascii="Times New Roman" w:hAnsi="Times New Roman" w:eastAsia="仿宋_GB2312" w:cs="Times New Roman"/>
          <w:color w:val="000000"/>
          <w:sz w:val="32"/>
          <w:szCs w:val="32"/>
        </w:rPr>
        <w:t>瞄准京津冀、江浙沪和关天、成渝经济圈及长江经济带等重点区域，</w:t>
      </w:r>
      <w:r>
        <w:rPr>
          <w:rFonts w:hint="default" w:ascii="Times New Roman" w:hAnsi="Times New Roman" w:eastAsia="仿宋_GB2312" w:cs="Times New Roman"/>
          <w:color w:val="000000"/>
          <w:kern w:val="0"/>
          <w:sz w:val="32"/>
          <w:szCs w:val="32"/>
        </w:rPr>
        <w:t>借助丝博会、杨凌农高会、陕粤港澳经济合作活动周、</w:t>
      </w:r>
      <w:r>
        <w:rPr>
          <w:rFonts w:hint="default" w:ascii="Times New Roman" w:hAnsi="Times New Roman" w:eastAsia="仿宋_GB2312" w:cs="Times New Roman"/>
          <w:color w:val="000000"/>
          <w:sz w:val="32"/>
          <w:szCs w:val="32"/>
        </w:rPr>
        <w:t>亚欧博览会</w:t>
      </w:r>
      <w:r>
        <w:rPr>
          <w:rFonts w:hint="default" w:ascii="Times New Roman" w:hAnsi="Times New Roman" w:eastAsia="仿宋_GB2312" w:cs="Times New Roman"/>
          <w:color w:val="000000"/>
          <w:kern w:val="0"/>
          <w:sz w:val="32"/>
          <w:szCs w:val="32"/>
        </w:rPr>
        <w:t>等平台，积极开拓省内外市场</w:t>
      </w:r>
      <w:r>
        <w:rPr>
          <w:rFonts w:hint="default" w:ascii="Times New Roman" w:hAnsi="Times New Roman" w:eastAsia="仿宋_GB2312" w:cs="Times New Roman"/>
          <w:color w:val="000000"/>
          <w:sz w:val="32"/>
          <w:szCs w:val="32"/>
        </w:rPr>
        <w:t>。创新招商方式，开展精准招商、以商招商、产业链招商，</w:t>
      </w:r>
      <w:r>
        <w:rPr>
          <w:rFonts w:hint="default" w:ascii="Times New Roman" w:hAnsi="Times New Roman" w:eastAsia="仿宋_GB2312" w:cs="Times New Roman"/>
          <w:color w:val="000000"/>
          <w:kern w:val="0"/>
          <w:sz w:val="32"/>
          <w:szCs w:val="32"/>
        </w:rPr>
        <w:t>积极承接东部地区产业转移，</w:t>
      </w:r>
      <w:r>
        <w:rPr>
          <w:rFonts w:hint="default" w:ascii="Times New Roman" w:hAnsi="Times New Roman" w:eastAsia="仿宋_GB2312" w:cs="Times New Roman"/>
          <w:color w:val="000000"/>
          <w:sz w:val="32"/>
          <w:szCs w:val="32"/>
        </w:rPr>
        <w:t>争取资金、技术、人才等优质资源落地南郑。</w:t>
      </w:r>
      <w:r>
        <w:rPr>
          <w:rFonts w:hint="default" w:ascii="Times New Roman" w:hAnsi="Times New Roman" w:eastAsia="仿宋_GB2312" w:cs="Times New Roman"/>
          <w:color w:val="000000"/>
          <w:kern w:val="0"/>
          <w:sz w:val="32"/>
          <w:szCs w:val="32"/>
        </w:rPr>
        <w:t>持续优化营商环境，深入推进放管服改革，完善“互联网+政务服务”平台，实行关联审批、告知承诺、全程代办等新模式，打造一流营商环境。支持民营经济，完善政策支持体系，落实区委、区政府《关于推动民营经济高质量发展的若干措施》(</w:t>
      </w:r>
      <w:r>
        <w:rPr>
          <w:rFonts w:hint="default" w:ascii="Times New Roman" w:hAnsi="Times New Roman" w:eastAsia="仿宋_GB2312" w:cs="Times New Roman"/>
          <w:sz w:val="32"/>
          <w:szCs w:val="32"/>
        </w:rPr>
        <w:t>南发〔2020〕2号</w:t>
      </w:r>
      <w:r>
        <w:rPr>
          <w:rFonts w:hint="default" w:ascii="Times New Roman" w:hAnsi="Times New Roman" w:eastAsia="仿宋_GB2312" w:cs="Times New Roman"/>
          <w:color w:val="000000"/>
          <w:kern w:val="0"/>
          <w:sz w:val="32"/>
          <w:szCs w:val="32"/>
        </w:rPr>
        <w:t>)，推动各项政策落细落实，推动民营经济发展壮大。(区农业农村局、经合局、经贸局、财政局、市场监管局、行政审批局、金融办、市自然资源局南郑分局按照部门职责各自牵头落实</w:t>
      </w:r>
      <w:r>
        <w:rPr>
          <w:rFonts w:hint="default" w:ascii="Times New Roman" w:hAnsi="Times New Roman" w:eastAsia="仿宋_GB2312" w:cs="Times New Roman"/>
          <w:sz w:val="32"/>
          <w:szCs w:val="32"/>
        </w:rPr>
        <w:t>)</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三、保障措施</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(一)提高政治站位。</w:t>
      </w:r>
      <w:r>
        <w:rPr>
          <w:rFonts w:hint="default" w:ascii="Times New Roman" w:hAnsi="Times New Roman" w:eastAsia="仿宋_GB2312" w:cs="Times New Roman"/>
          <w:color w:val="000000"/>
          <w:sz w:val="32"/>
          <w:szCs w:val="32"/>
        </w:rPr>
        <w:t>各镇(街道办)、各部门要充分发挥职能作用，通过联席会议、现场调研等方式共同解决发展过程中遇到的问题，切实把推进县域经济发展和城镇建设工作放在重要位置，建立推进机制、制定配套政策、加强协调配合、形成强大合力。</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(二)加强组织领导。</w:t>
      </w:r>
      <w:r>
        <w:rPr>
          <w:rFonts w:hint="default" w:ascii="Times New Roman" w:hAnsi="Times New Roman" w:eastAsia="仿宋_GB2312" w:cs="Times New Roman"/>
          <w:color w:val="000000"/>
          <w:sz w:val="32"/>
          <w:szCs w:val="32"/>
        </w:rPr>
        <w:t>按照“分级负责、上下联动、分工明确、部门协同”的要求，各责任单位要按照任务分工，进一步量化细化实化工作举措，推进各项任务落地落实落细。</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(三)加强政策和资金保障。</w:t>
      </w:r>
      <w:r>
        <w:rPr>
          <w:rFonts w:hint="default" w:ascii="Times New Roman" w:hAnsi="Times New Roman" w:eastAsia="仿宋_GB2312" w:cs="Times New Roman"/>
          <w:color w:val="000000"/>
          <w:sz w:val="32"/>
          <w:szCs w:val="32"/>
        </w:rPr>
        <w:t>各镇(街道办)、各部门要加强项目谋划和储备，聚焦重点任务、重大项目，推动土地、资金等生产要素集聚。围绕园区基础设施、重点产业化项目、城区基础设施、生产性服务平台等领域，争取和用好专项资金。</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(四)优化发展环境。</w:t>
      </w:r>
      <w:r>
        <w:rPr>
          <w:rFonts w:hint="default" w:ascii="Times New Roman" w:hAnsi="Times New Roman" w:eastAsia="仿宋_GB2312" w:cs="Times New Roman"/>
          <w:color w:val="000000"/>
          <w:sz w:val="32"/>
          <w:szCs w:val="32"/>
        </w:rPr>
        <w:t>持续推进“放管服”改革，大力推进流程再造，实行“一网通办”“最多跑一次”“一枚印章管审批”等服务新模式，着眼企业需求提供深度服务，打造一流营商环境。坚持包容审慎监管，推行信用监管，规范文明执法，深化扫黑除恶专项斗争，维护市场主体合法权益。</w:t>
      </w:r>
    </w:p>
    <w:p>
      <w:pPr>
        <w:keepNext w:val="0"/>
        <w:keepLines w:val="0"/>
        <w:pageBreakBefore w:val="0"/>
        <w:widowControl w:val="0"/>
        <w:pBdr>
          <w:bottom w:val="single" w:color="FFFFFF" w:sz="6" w:space="14"/>
        </w:pBdr>
        <w:tabs>
          <w:tab w:val="left" w:pos="6695"/>
          <w:tab w:val="left" w:pos="6725"/>
        </w:tabs>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kern w:val="0"/>
          <w:sz w:val="32"/>
          <w:szCs w:val="32"/>
        </w:rPr>
        <w:t>(五)强化督导奖惩。</w:t>
      </w:r>
      <w:r>
        <w:rPr>
          <w:rFonts w:hint="default" w:ascii="Times New Roman" w:hAnsi="Times New Roman" w:eastAsia="仿宋_GB2312" w:cs="Times New Roman"/>
          <w:color w:val="000000"/>
          <w:sz w:val="32"/>
          <w:szCs w:val="32"/>
        </w:rPr>
        <w:t>各镇(街道办)、各部门要严格落实县域经济发展和城镇建设工作任务，重点任务要实行台账管理，确保完成。对工作落实有力、成效显著的单位和个人，运用“三项机制”及时予以鼓励激励；对因作风不实、推进不力，搞形式主义官僚主义，造成不良影响的依法依规严肃问责。</w:t>
      </w:r>
    </w:p>
    <w:p>
      <w:pPr>
        <w:pStyle w:val="2"/>
        <w:rPr>
          <w:rFonts w:hint="default" w:ascii="Times New Roman" w:hAnsi="Times New Roman" w:cs="Times New Roman"/>
        </w:rPr>
      </w:pPr>
    </w:p>
    <w:p>
      <w:pPr>
        <w:spacing w:line="580" w:lineRule="exact"/>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pict>
          <v:line id="_x0000_s2054" o:spid="_x0000_s2054" o:spt="20" style="position:absolute;left:0pt;margin-left:0pt;margin-top:13.8pt;height:0pt;width:441pt;z-index:251660288;mso-width-relative:page;mso-height-relative:page;" filled="f" coordsize="21600,21600">
            <v:path arrowok="t"/>
            <v:fill on="f" focussize="0,0"/>
            <v:stroke weight="1pt"/>
            <v:imagedata o:title=""/>
            <o:lock v:ext="edit" grouping="f" rotation="f" text="f" aspectratio="f"/>
          </v:line>
        </w:pict>
      </w:r>
    </w:p>
    <w:p>
      <w:pPr>
        <w:keepNext w:val="0"/>
        <w:keepLines w:val="0"/>
        <w:pageBreakBefore w:val="0"/>
        <w:widowControl/>
        <w:kinsoku/>
        <w:wordWrap/>
        <w:overflowPunct/>
        <w:topLinePunct w:val="0"/>
        <w:autoSpaceDE/>
        <w:autoSpaceDN/>
        <w:bidi w:val="0"/>
        <w:adjustRightInd/>
        <w:snapToGrid/>
        <w:spacing w:line="460" w:lineRule="exact"/>
        <w:ind w:left="1121" w:leftChars="134" w:hanging="840" w:hangingChars="300"/>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抄送：汉中市人民政府办公室，市发改委。</w:t>
      </w:r>
    </w:p>
    <w:p>
      <w:pPr>
        <w:keepNext w:val="0"/>
        <w:keepLines w:val="0"/>
        <w:pageBreakBefore w:val="0"/>
        <w:widowControl/>
        <w:kinsoku/>
        <w:wordWrap/>
        <w:overflowPunct/>
        <w:topLinePunct w:val="0"/>
        <w:autoSpaceDE/>
        <w:autoSpaceDN/>
        <w:bidi w:val="0"/>
        <w:adjustRightInd/>
        <w:snapToGrid/>
        <w:spacing w:line="460" w:lineRule="exact"/>
        <w:ind w:left="1121" w:leftChars="534"/>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区委办公室，区人大办公室，区政协办公室，区纪委，区人武部，区法院，区检察院。</w:t>
      </w:r>
    </w:p>
    <w:p>
      <w:pPr>
        <w:keepNext w:val="0"/>
        <w:keepLines w:val="0"/>
        <w:pageBreakBefore w:val="0"/>
        <w:widowControl/>
        <w:kinsoku/>
        <w:wordWrap/>
        <w:overflowPunct/>
        <w:topLinePunct w:val="0"/>
        <w:autoSpaceDE/>
        <w:autoSpaceDN/>
        <w:bidi w:val="0"/>
        <w:adjustRightInd/>
        <w:snapToGrid/>
        <w:spacing w:line="560" w:lineRule="exact"/>
        <w:ind w:right="338" w:rightChars="161" w:firstLine="313" w:firstLineChars="112"/>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Cs/>
          <w:color w:val="000000"/>
          <w:sz w:val="28"/>
          <w:szCs w:val="28"/>
        </w:rPr>
        <w:pict>
          <v:line id="_x0000_s2055" o:spid="_x0000_s2055" o:spt="20" style="position:absolute;left:0pt;margin-left:0pt;margin-top:5.2pt;height:0pt;width:441pt;z-index:251658240;mso-width-relative:page;mso-height-relative:page;" filled="f" coordsize="21600,21600">
            <v:path arrowok="t"/>
            <v:fill on="f" focussize="0,0"/>
            <v:stroke weight="0.7pt"/>
            <v:imagedata o:title=""/>
            <o:lock v:ext="edit" grouping="f" rotation="f" text="f" aspectratio="f"/>
          </v:line>
        </w:pict>
      </w:r>
      <w:r>
        <w:rPr>
          <w:rFonts w:hint="default" w:ascii="Times New Roman" w:hAnsi="Times New Roman" w:eastAsia="仿宋_GB2312" w:cs="Times New Roman"/>
          <w:bCs/>
          <w:color w:val="000000"/>
          <w:sz w:val="28"/>
          <w:szCs w:val="28"/>
        </w:rPr>
        <w:pict>
          <v:line id="_x0000_s2056" o:spid="_x0000_s2056" o:spt="20" style="position:absolute;left:0pt;margin-left:0pt;margin-top:32.4pt;height:0pt;width:441pt;z-index:251659264;mso-width-relative:page;mso-height-relative:page;" filled="f" coordsize="21600,21600">
            <v:path arrowok="t"/>
            <v:fill on="f" focussize="0,0"/>
            <v:stroke weight="1pt"/>
            <v:imagedata o:title=""/>
            <o:lock v:ext="edit" grouping="f" rotation="f" text="f" aspectratio="f"/>
          </v:line>
        </w:pict>
      </w:r>
      <w:r>
        <w:rPr>
          <w:rFonts w:hint="default" w:ascii="Times New Roman" w:hAnsi="Times New Roman" w:eastAsia="仿宋_GB2312" w:cs="Times New Roman"/>
          <w:bCs/>
          <w:color w:val="000000"/>
          <w:sz w:val="28"/>
          <w:szCs w:val="28"/>
        </w:rPr>
        <w:t>汉中市南郑区人民政府办公室          2020年</w:t>
      </w:r>
      <w:r>
        <w:rPr>
          <w:rFonts w:hint="default" w:ascii="Times New Roman" w:hAnsi="Times New Roman" w:eastAsia="仿宋_GB2312" w:cs="Times New Roman"/>
          <w:bCs/>
          <w:color w:val="000000"/>
          <w:sz w:val="28"/>
          <w:szCs w:val="28"/>
          <w:lang w:val="en-US" w:eastAsia="zh-CN"/>
        </w:rPr>
        <w:t>12</w:t>
      </w:r>
      <w:r>
        <w:rPr>
          <w:rFonts w:hint="default" w:ascii="Times New Roman" w:hAnsi="Times New Roman" w:eastAsia="仿宋_GB2312" w:cs="Times New Roman"/>
          <w:bCs/>
          <w:color w:val="000000"/>
          <w:sz w:val="28"/>
          <w:szCs w:val="28"/>
        </w:rPr>
        <w:t>月</w:t>
      </w:r>
      <w:r>
        <w:rPr>
          <w:rFonts w:hint="default" w:ascii="Times New Roman" w:hAnsi="Times New Roman" w:eastAsia="仿宋_GB2312" w:cs="Times New Roman"/>
          <w:bCs/>
          <w:color w:val="000000"/>
          <w:sz w:val="28"/>
          <w:szCs w:val="28"/>
          <w:lang w:val="en-US" w:eastAsia="zh-CN"/>
        </w:rPr>
        <w:t>3</w:t>
      </w:r>
      <w:r>
        <w:rPr>
          <w:rFonts w:hint="default" w:ascii="Times New Roman" w:hAnsi="Times New Roman" w:eastAsia="仿宋_GB2312" w:cs="Times New Roman"/>
          <w:bCs/>
          <w:color w:val="000000"/>
          <w:sz w:val="28"/>
          <w:szCs w:val="28"/>
        </w:rPr>
        <w:t>日印发</w:t>
      </w:r>
    </w:p>
    <w:sectPr>
      <w:headerReference r:id="rId4" w:type="first"/>
      <w:footerReference r:id="rId7" w:type="first"/>
      <w:headerReference r:id="rId3" w:type="default"/>
      <w:footerReference r:id="rId5" w:type="default"/>
      <w:footerReference r:id="rId6" w:type="even"/>
      <w:pgSz w:w="11906" w:h="16838"/>
      <w:pgMar w:top="1928" w:right="1474" w:bottom="1701"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5" o:spid="_x0000_s3075" o:spt="202" type="#_x0000_t202" style="position:absolute;left:0pt;margin-left:218.6pt;margin-top:-8.95pt;height:20.45pt;width:224.75pt;mso-position-horizontal-relative:margin;z-index:251661312;mso-width-relative:page;mso-height-relative:page;" filled="f" stroked="f" coordsize="21600,21600" o:gfxdata="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RhSi2gAAAAoBAAAPAAAAAAAAAAEAIAAAACIAAABkcnMv&#10;ZG93bnJldi54bWxQSwECFAAUAAAACACHTuJAOkCx+zoCAABiBAAADgAAAAAAAAABACAAAAApAQAA&#10;ZHJzL2Uyb0RvYy54bWxQSwUGAAAAAAYABgBZAQAA1QUAAAAA&#10;">
          <v:path/>
          <v:fill on="f" focussize="0,0"/>
          <v:stroke on="f" weight="0.5pt" joinstyle="miter"/>
          <v:imagedata o:title=""/>
          <o:lock v:ext="edit"/>
          <v:textbox inset="0mm,0mm,0mm,0mm">
            <w:txbxContent>
              <w:p>
                <w:pPr>
                  <w:pStyle w:val="5"/>
                  <w:ind w:firstLine="3640" w:firstLineChars="1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r>
      <w:pict>
        <v:shape id="文本框 1025" o:spid="_x0000_s3074"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left:1.9pt;margin-top:-10.5pt;height:22pt;width:221.75pt;mso-position-horizontal-relative:margin;z-index:251662336;mso-width-relative:page;mso-height-relative:page;" filled="f" stroked="f" coordsize="21600,21600" o:gfxdata="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YWkfNcAAAAIAQAADwAAAAAAAAABACAAAAAiAAAAZHJzL2Rvd25y&#10;ZXYueG1sUEsBAhQAFAAAAAgAh07iQFfXi484AgAAYgQAAA4AAAAAAAAAAQAgAAAAJgEAAGRycy9l&#10;Mm9Eb2MueG1sUEsFBgAAAAAGAAYAWQEAANAFAAAAAA==&#10;">
          <v:path/>
          <v:fill on="f" focussize="0,0"/>
          <v:stroke on="f" weight="0.5pt" joinstyle="miter"/>
          <v:imagedata o:title=""/>
          <o:lock v:ext="edit"/>
          <v:textbox inset="0mm,0mm,0mm,0mm">
            <w:txbxContent>
              <w:p>
                <w:pPr>
                  <w:pStyle w:val="5"/>
                  <w:ind w:firstLine="280" w:firstLineChars="100"/>
                  <w:rPr>
                    <w:rStyle w:val="10"/>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w:t>
                </w: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asciiTheme="minorEastAsia" w:hAnsiTheme="minorEastAsia" w:eastAsiaTheme="minorEastAsia" w:cstheme="minorEastAsia"/>
                    <w:sz w:val="28"/>
                    <w:szCs w:val="28"/>
                  </w:rPr>
                  <w:fldChar w:fldCharType="separate"/>
                </w:r>
                <w:r>
                  <w:rPr>
                    <w:rStyle w:val="10"/>
                    <w:rFonts w:asciiTheme="minorEastAsia" w:hAnsiTheme="minorEastAsia" w:eastAsiaTheme="minorEastAsia" w:cstheme="minorEastAsia"/>
                    <w:sz w:val="28"/>
                    <w:szCs w:val="28"/>
                  </w:rPr>
                  <w:t>10</w:t>
                </w:r>
                <w:r>
                  <w:rPr>
                    <w:rStyle w:val="10"/>
                    <w:rFonts w:hint="eastAsia" w:asciiTheme="minorEastAsia" w:hAnsiTheme="minorEastAsia" w:eastAsiaTheme="minorEastAsia" w:cstheme="minorEastAsia"/>
                    <w:sz w:val="28"/>
                    <w:szCs w:val="28"/>
                  </w:rPr>
                  <w:fldChar w:fldCharType="end"/>
                </w:r>
                <w:r>
                  <w:rPr>
                    <w:rStyle w:val="10"/>
                    <w:rFonts w:hint="eastAsia" w:asciiTheme="minorEastAsia" w:hAnsiTheme="minorEastAsia" w:eastAsiaTheme="minorEastAsia" w:cstheme="minorEastAsia"/>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dit="readOnly"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804AEA"/>
    <w:rsid w:val="00006E24"/>
    <w:rsid w:val="000B5D14"/>
    <w:rsid w:val="00113551"/>
    <w:rsid w:val="00127A06"/>
    <w:rsid w:val="00206951"/>
    <w:rsid w:val="00212386"/>
    <w:rsid w:val="002222B3"/>
    <w:rsid w:val="00251B6B"/>
    <w:rsid w:val="00265ED1"/>
    <w:rsid w:val="00283AA3"/>
    <w:rsid w:val="002977BA"/>
    <w:rsid w:val="00312CEE"/>
    <w:rsid w:val="0036013C"/>
    <w:rsid w:val="003B3E9D"/>
    <w:rsid w:val="003C515B"/>
    <w:rsid w:val="003D5FAC"/>
    <w:rsid w:val="003E4308"/>
    <w:rsid w:val="00445F16"/>
    <w:rsid w:val="004F544F"/>
    <w:rsid w:val="00515D88"/>
    <w:rsid w:val="005356CC"/>
    <w:rsid w:val="0058249F"/>
    <w:rsid w:val="006A63B5"/>
    <w:rsid w:val="006D1675"/>
    <w:rsid w:val="006F40B5"/>
    <w:rsid w:val="00804AEA"/>
    <w:rsid w:val="00807306"/>
    <w:rsid w:val="008A0D1A"/>
    <w:rsid w:val="008C66E9"/>
    <w:rsid w:val="008F18AE"/>
    <w:rsid w:val="00993D9C"/>
    <w:rsid w:val="00A143CF"/>
    <w:rsid w:val="00A23A77"/>
    <w:rsid w:val="00A75401"/>
    <w:rsid w:val="00AF4EDB"/>
    <w:rsid w:val="00B66464"/>
    <w:rsid w:val="00BA7680"/>
    <w:rsid w:val="00C20AB4"/>
    <w:rsid w:val="00C52583"/>
    <w:rsid w:val="00C93A10"/>
    <w:rsid w:val="00D32104"/>
    <w:rsid w:val="00D6198F"/>
    <w:rsid w:val="00D837D5"/>
    <w:rsid w:val="00D92244"/>
    <w:rsid w:val="00DB0322"/>
    <w:rsid w:val="00DF34AC"/>
    <w:rsid w:val="00E46028"/>
    <w:rsid w:val="00E6201F"/>
    <w:rsid w:val="00E7708B"/>
    <w:rsid w:val="00F82673"/>
    <w:rsid w:val="00F94C2D"/>
    <w:rsid w:val="014D369E"/>
    <w:rsid w:val="015E033A"/>
    <w:rsid w:val="03B56F5F"/>
    <w:rsid w:val="04012640"/>
    <w:rsid w:val="06A5094E"/>
    <w:rsid w:val="06DD1EF9"/>
    <w:rsid w:val="0ADB4F4F"/>
    <w:rsid w:val="0D643AA4"/>
    <w:rsid w:val="0D78371F"/>
    <w:rsid w:val="0DCC72A7"/>
    <w:rsid w:val="0E342A8F"/>
    <w:rsid w:val="101531FC"/>
    <w:rsid w:val="12357916"/>
    <w:rsid w:val="16C52EBC"/>
    <w:rsid w:val="17227C38"/>
    <w:rsid w:val="17346F6A"/>
    <w:rsid w:val="181A34E0"/>
    <w:rsid w:val="190B134A"/>
    <w:rsid w:val="1AA16C45"/>
    <w:rsid w:val="1AB8247A"/>
    <w:rsid w:val="1B7611FB"/>
    <w:rsid w:val="1BB75D5D"/>
    <w:rsid w:val="1C9E12BB"/>
    <w:rsid w:val="1D795FF8"/>
    <w:rsid w:val="1D7D0C45"/>
    <w:rsid w:val="21312428"/>
    <w:rsid w:val="247A08AE"/>
    <w:rsid w:val="261205CB"/>
    <w:rsid w:val="26847F3C"/>
    <w:rsid w:val="26E352C6"/>
    <w:rsid w:val="27B45EFD"/>
    <w:rsid w:val="28FE09FE"/>
    <w:rsid w:val="2A7A7DE2"/>
    <w:rsid w:val="2AAC3F17"/>
    <w:rsid w:val="2ACA428E"/>
    <w:rsid w:val="2B673FF6"/>
    <w:rsid w:val="2B7D3076"/>
    <w:rsid w:val="2C475331"/>
    <w:rsid w:val="2CD27A23"/>
    <w:rsid w:val="2D3A06EC"/>
    <w:rsid w:val="2E2A39C0"/>
    <w:rsid w:val="2E503582"/>
    <w:rsid w:val="2F182FCB"/>
    <w:rsid w:val="310F3078"/>
    <w:rsid w:val="31270E91"/>
    <w:rsid w:val="31A32423"/>
    <w:rsid w:val="32116BBD"/>
    <w:rsid w:val="358B4052"/>
    <w:rsid w:val="3654520A"/>
    <w:rsid w:val="37303521"/>
    <w:rsid w:val="37966A5B"/>
    <w:rsid w:val="38344A94"/>
    <w:rsid w:val="395B0C0A"/>
    <w:rsid w:val="3B4A4479"/>
    <w:rsid w:val="3B83700D"/>
    <w:rsid w:val="3B8C2F64"/>
    <w:rsid w:val="3E2337E3"/>
    <w:rsid w:val="3F977567"/>
    <w:rsid w:val="427B666F"/>
    <w:rsid w:val="42E9608D"/>
    <w:rsid w:val="46FB58CF"/>
    <w:rsid w:val="485E7C9B"/>
    <w:rsid w:val="48644DBE"/>
    <w:rsid w:val="48BB6FEE"/>
    <w:rsid w:val="4A2B3C56"/>
    <w:rsid w:val="4A3644AD"/>
    <w:rsid w:val="4A8D6114"/>
    <w:rsid w:val="4BD96324"/>
    <w:rsid w:val="4BF73453"/>
    <w:rsid w:val="4D546916"/>
    <w:rsid w:val="4DA46839"/>
    <w:rsid w:val="4DD2012F"/>
    <w:rsid w:val="4EAC074C"/>
    <w:rsid w:val="4EFA00AF"/>
    <w:rsid w:val="51471E02"/>
    <w:rsid w:val="53F933A1"/>
    <w:rsid w:val="552A562A"/>
    <w:rsid w:val="554D0797"/>
    <w:rsid w:val="559C4BEE"/>
    <w:rsid w:val="56686464"/>
    <w:rsid w:val="591705EC"/>
    <w:rsid w:val="5B934A7D"/>
    <w:rsid w:val="5C8F696E"/>
    <w:rsid w:val="5DB43F1C"/>
    <w:rsid w:val="5DFB3265"/>
    <w:rsid w:val="5ED4582B"/>
    <w:rsid w:val="5F43468D"/>
    <w:rsid w:val="5F7E23D4"/>
    <w:rsid w:val="5FA0195A"/>
    <w:rsid w:val="60CC4DCC"/>
    <w:rsid w:val="61343B2F"/>
    <w:rsid w:val="613C55C9"/>
    <w:rsid w:val="651518AD"/>
    <w:rsid w:val="65B07ADF"/>
    <w:rsid w:val="673969B2"/>
    <w:rsid w:val="67E41D56"/>
    <w:rsid w:val="68BD7C9E"/>
    <w:rsid w:val="68D6644F"/>
    <w:rsid w:val="69D35AC8"/>
    <w:rsid w:val="6B3023A9"/>
    <w:rsid w:val="6B804465"/>
    <w:rsid w:val="6CA55F5A"/>
    <w:rsid w:val="6D910260"/>
    <w:rsid w:val="707A2F3C"/>
    <w:rsid w:val="71CA7D7F"/>
    <w:rsid w:val="73B64651"/>
    <w:rsid w:val="740C5208"/>
    <w:rsid w:val="74143A33"/>
    <w:rsid w:val="74566635"/>
    <w:rsid w:val="750C5BA1"/>
    <w:rsid w:val="760A65F4"/>
    <w:rsid w:val="765D7AD6"/>
    <w:rsid w:val="78FA4C88"/>
    <w:rsid w:val="7A8041AE"/>
    <w:rsid w:val="7B8448B3"/>
    <w:rsid w:val="7C1D6932"/>
    <w:rsid w:val="7E8A598B"/>
    <w:rsid w:val="7E986380"/>
    <w:rsid w:val="7EF43207"/>
    <w:rsid w:val="7F5806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szCs w:val="21"/>
    </w:rPr>
  </w:style>
  <w:style w:type="paragraph" w:styleId="3">
    <w:name w:val="Body Text"/>
    <w:basedOn w:val="1"/>
    <w:qFormat/>
    <w:uiPriority w:val="0"/>
    <w:rPr>
      <w:rFonts w:ascii="楷体_GB2312" w:eastAsia="楷体_GB2312"/>
      <w:sz w:val="32"/>
    </w:rPr>
  </w:style>
  <w:style w:type="paragraph" w:styleId="4">
    <w:name w:val="Plain Text"/>
    <w:basedOn w:val="1"/>
    <w:qFormat/>
    <w:uiPriority w:val="0"/>
    <w:rPr>
      <w:rFonts w:ascii="宋体" w:hAnsi="宋体" w:eastAsia="仿宋_GB2312" w:cs="Courier New"/>
      <w:szCs w:val="21"/>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character" w:styleId="10">
    <w:name w:val="page number"/>
    <w:basedOn w:val="9"/>
    <w:qFormat/>
    <w:uiPriority w:val="99"/>
    <w:rPr>
      <w:rFonts w:cs="Times New Roman"/>
    </w:rPr>
  </w:style>
  <w:style w:type="character" w:customStyle="1" w:styleId="11">
    <w:name w:val="页脚 Char"/>
    <w:basedOn w:val="9"/>
    <w:link w:val="5"/>
    <w:semiHidden/>
    <w:qFormat/>
    <w:locked/>
    <w:uiPriority w:val="99"/>
    <w:rPr>
      <w:rFonts w:cs="Times New Roman"/>
      <w:sz w:val="18"/>
      <w:szCs w:val="18"/>
    </w:rPr>
  </w:style>
  <w:style w:type="character" w:customStyle="1" w:styleId="12">
    <w:name w:val="页眉 Char"/>
    <w:basedOn w:val="9"/>
    <w:link w:val="6"/>
    <w:semiHidden/>
    <w:qFormat/>
    <w:locked/>
    <w:uiPriority w:val="99"/>
    <w:rPr>
      <w:rFonts w:cs="Times New Roman"/>
      <w:sz w:val="18"/>
      <w:szCs w:val="18"/>
    </w:rPr>
  </w:style>
  <w:style w:type="paragraph" w:customStyle="1" w:styleId="13">
    <w:name w:val="Plain Text"/>
    <w:basedOn w:val="1"/>
    <w:qFormat/>
    <w:uiPriority w:val="0"/>
    <w:pPr>
      <w:adjustRightInd w:val="0"/>
      <w:textAlignment w:val="baseline"/>
    </w:pPr>
    <w:rPr>
      <w:rFonts w:ascii="宋体" w:hAnsi="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4"/>
    <customShpInfo spid="_x0000_s3073"/>
    <customShpInfo spid="_x0000_s2057"/>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808</Words>
  <Characters>4609</Characters>
  <Lines>38</Lines>
  <Paragraphs>10</Paragraphs>
  <TotalTime>1</TotalTime>
  <ScaleCrop>false</ScaleCrop>
  <LinksUpToDate>false</LinksUpToDate>
  <CharactersWithSpaces>5407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2017-12-13T05:51:00Z</dcterms:created>
  <dc:creator>Administrator</dc:creator>
  <cp:lastModifiedBy>用户李意</cp:lastModifiedBy>
  <cp:lastPrinted>2020-12-21T07:50:00Z</cp:lastPrinted>
  <dcterms:modified xsi:type="dcterms:W3CDTF">2021-01-13T01:31:56Z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